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lang w:eastAsia="zh-CN"/>
        </w:rPr>
      </w:pPr>
      <w:r>
        <w:rPr>
          <w:rFonts w:hint="eastAsia"/>
          <w:b/>
          <w:bCs/>
          <w:sz w:val="36"/>
          <w:szCs w:val="36"/>
          <w:lang w:eastAsia="zh-CN"/>
        </w:rPr>
        <w:t>部门重点项目绩效评价报告</w:t>
      </w:r>
    </w:p>
    <w:p>
      <w:pPr>
        <w:ind w:firstLine="600" w:firstLineChars="200"/>
        <w:jc w:val="left"/>
        <w:rPr>
          <w:rFonts w:hint="eastAsia"/>
          <w:sz w:val="30"/>
          <w:szCs w:val="30"/>
          <w:lang w:eastAsia="zh-CN"/>
        </w:rPr>
      </w:pPr>
    </w:p>
    <w:p>
      <w:pPr>
        <w:ind w:firstLine="600" w:firstLineChars="200"/>
        <w:jc w:val="left"/>
        <w:rPr>
          <w:rFonts w:hint="eastAsia"/>
          <w:sz w:val="30"/>
          <w:szCs w:val="30"/>
          <w:lang w:val="en-US" w:eastAsia="zh-CN"/>
        </w:rPr>
      </w:pPr>
      <w:r>
        <w:rPr>
          <w:rFonts w:hint="eastAsia"/>
          <w:sz w:val="30"/>
          <w:szCs w:val="30"/>
          <w:lang w:eastAsia="zh-CN"/>
        </w:rPr>
        <w:t>根据市财政局《关于开展预算绩效自评及部门评价工作的通知》（九财绩</w:t>
      </w:r>
      <w:r>
        <w:rPr>
          <w:rFonts w:hint="eastAsia"/>
          <w:sz w:val="30"/>
          <w:szCs w:val="30"/>
          <w:lang w:val="en-US" w:eastAsia="zh-CN"/>
        </w:rPr>
        <w:t>[2024]2号</w:t>
      </w:r>
      <w:r>
        <w:rPr>
          <w:rFonts w:hint="eastAsia"/>
          <w:sz w:val="30"/>
          <w:szCs w:val="30"/>
          <w:lang w:eastAsia="zh-CN"/>
        </w:rPr>
        <w:t>）文件要求，市教育局在下属预算单位项目绩效自评的基础上，结合工作实际，选取了</w:t>
      </w:r>
      <w:r>
        <w:rPr>
          <w:rFonts w:hint="eastAsia"/>
          <w:sz w:val="30"/>
          <w:szCs w:val="30"/>
          <w:lang w:val="en-US" w:eastAsia="zh-CN"/>
        </w:rPr>
        <w:t>2个上年度项目开展部门评价。具体评价结果如下：</w:t>
      </w:r>
    </w:p>
    <w:p>
      <w:pPr>
        <w:numPr>
          <w:ilvl w:val="0"/>
          <w:numId w:val="1"/>
        </w:numPr>
        <w:ind w:firstLine="600" w:firstLineChars="200"/>
        <w:jc w:val="left"/>
        <w:rPr>
          <w:rFonts w:hint="eastAsia"/>
          <w:sz w:val="30"/>
          <w:szCs w:val="30"/>
          <w:lang w:val="en-US" w:eastAsia="zh-CN"/>
        </w:rPr>
      </w:pPr>
      <w:r>
        <w:rPr>
          <w:rFonts w:hint="eastAsia"/>
          <w:sz w:val="30"/>
          <w:szCs w:val="30"/>
          <w:lang w:val="en-US" w:eastAsia="zh-CN"/>
        </w:rPr>
        <w:t>基本情况</w:t>
      </w:r>
    </w:p>
    <w:p>
      <w:pPr>
        <w:numPr>
          <w:ilvl w:val="0"/>
          <w:numId w:val="0"/>
        </w:numPr>
        <w:jc w:val="left"/>
        <w:rPr>
          <w:rFonts w:hint="eastAsia"/>
          <w:sz w:val="30"/>
          <w:szCs w:val="30"/>
          <w:lang w:val="en-US" w:eastAsia="zh-CN"/>
        </w:rPr>
      </w:pPr>
      <w:r>
        <w:rPr>
          <w:rFonts w:hint="eastAsia"/>
          <w:sz w:val="30"/>
          <w:szCs w:val="30"/>
          <w:lang w:val="en-US" w:eastAsia="zh-CN"/>
        </w:rPr>
        <w:t xml:space="preserve">    （一）项目概况：全市中小学教师培训项目，该项目申报预算金额230万元，本年度执行110.60万元。其中包括“中心城区新建学校和薄弱学校心理健康教师培训”、“三新教师培训”、“全市信息化教师培训”、“全市中小学心理健康教师培训”、“市直学校教师培训”、“全市初中校长培训”、“全市中小学班主任培训”，共七个培训项目，共计参训人数超过4500人次（含教师远程培训）。</w:t>
      </w:r>
    </w:p>
    <w:p>
      <w:pPr>
        <w:numPr>
          <w:ilvl w:val="0"/>
          <w:numId w:val="0"/>
        </w:numPr>
        <w:ind w:firstLine="600" w:firstLineChars="200"/>
        <w:jc w:val="left"/>
        <w:rPr>
          <w:rFonts w:hint="eastAsia"/>
          <w:sz w:val="30"/>
          <w:szCs w:val="30"/>
          <w:lang w:val="en-US" w:eastAsia="zh-CN"/>
        </w:rPr>
      </w:pPr>
      <w:r>
        <w:rPr>
          <w:rFonts w:hint="eastAsia"/>
          <w:sz w:val="30"/>
          <w:szCs w:val="30"/>
          <w:lang w:val="en-US" w:eastAsia="zh-CN"/>
        </w:rPr>
        <w:t>（二）项目绩效目标：完成申报项目设置的培训方案安排的所有培训工作，注重教师的专业素养提升、适应当前教育变革等方面进行全面教学，从而促进教师专业成长、提高教学质量。</w:t>
      </w:r>
    </w:p>
    <w:p>
      <w:pPr>
        <w:numPr>
          <w:ilvl w:val="0"/>
          <w:numId w:val="0"/>
        </w:numPr>
        <w:ind w:firstLine="600" w:firstLineChars="200"/>
        <w:jc w:val="left"/>
        <w:rPr>
          <w:rFonts w:hint="eastAsia"/>
          <w:sz w:val="30"/>
          <w:szCs w:val="30"/>
          <w:lang w:val="en-US" w:eastAsia="zh-CN"/>
        </w:rPr>
      </w:pPr>
      <w:r>
        <w:rPr>
          <w:rFonts w:hint="eastAsia"/>
          <w:sz w:val="30"/>
          <w:szCs w:val="30"/>
          <w:lang w:val="en-US" w:eastAsia="zh-CN"/>
        </w:rPr>
        <w:t>二、绩效评价工作开展情况</w:t>
      </w:r>
    </w:p>
    <w:p>
      <w:pPr>
        <w:numPr>
          <w:ilvl w:val="0"/>
          <w:numId w:val="0"/>
        </w:numPr>
        <w:ind w:firstLine="600" w:firstLineChars="200"/>
        <w:jc w:val="left"/>
        <w:rPr>
          <w:rFonts w:hint="eastAsia"/>
          <w:sz w:val="30"/>
          <w:szCs w:val="30"/>
          <w:lang w:val="en-US" w:eastAsia="zh-CN"/>
        </w:rPr>
      </w:pPr>
      <w:r>
        <w:rPr>
          <w:rFonts w:hint="eastAsia"/>
          <w:sz w:val="30"/>
          <w:szCs w:val="30"/>
          <w:lang w:val="en-US" w:eastAsia="zh-CN"/>
        </w:rPr>
        <w:t>（一）绩效评价目的、对象和范围</w:t>
      </w:r>
    </w:p>
    <w:p>
      <w:pPr>
        <w:numPr>
          <w:ilvl w:val="0"/>
          <w:numId w:val="0"/>
        </w:numPr>
        <w:ind w:firstLine="600" w:firstLineChars="200"/>
        <w:jc w:val="left"/>
        <w:rPr>
          <w:rFonts w:hint="eastAsia"/>
          <w:sz w:val="30"/>
          <w:szCs w:val="30"/>
          <w:lang w:val="en-US" w:eastAsia="zh-CN"/>
        </w:rPr>
      </w:pPr>
      <w:r>
        <w:rPr>
          <w:rFonts w:hint="eastAsia"/>
          <w:sz w:val="30"/>
          <w:szCs w:val="30"/>
          <w:lang w:val="en-US" w:eastAsia="zh-CN"/>
        </w:rPr>
        <w:t>评价目的：为全面实施预算绩效管理，提高资金使用效益。通过项目的绩效评价，分析项目的执行情况以及申报目标的完成情况。评价结果可分为优、良、中、差，结果将作为下次资金分配因素的重要依据。</w:t>
      </w:r>
    </w:p>
    <w:p>
      <w:pPr>
        <w:numPr>
          <w:ilvl w:val="0"/>
          <w:numId w:val="0"/>
        </w:numPr>
        <w:ind w:firstLine="600" w:firstLineChars="200"/>
        <w:jc w:val="left"/>
        <w:rPr>
          <w:rFonts w:hint="eastAsia"/>
          <w:sz w:val="30"/>
          <w:szCs w:val="30"/>
          <w:lang w:val="en-US" w:eastAsia="zh-CN"/>
        </w:rPr>
      </w:pPr>
      <w:r>
        <w:rPr>
          <w:rFonts w:hint="eastAsia"/>
          <w:sz w:val="30"/>
          <w:szCs w:val="30"/>
          <w:lang w:val="en-US" w:eastAsia="zh-CN"/>
        </w:rPr>
        <w:t>评价对象和范围：为提升教师专业素养，提高教学质量。市教育局在省返还教育费附加资金安排了教师培训专项经费，委托九江开放大学实施。</w:t>
      </w:r>
    </w:p>
    <w:p>
      <w:pPr>
        <w:numPr>
          <w:ilvl w:val="0"/>
          <w:numId w:val="2"/>
        </w:numPr>
        <w:ind w:firstLine="600" w:firstLineChars="200"/>
        <w:jc w:val="left"/>
        <w:rPr>
          <w:rFonts w:hint="eastAsia"/>
          <w:sz w:val="30"/>
          <w:szCs w:val="30"/>
          <w:lang w:val="en-US" w:eastAsia="zh-CN"/>
        </w:rPr>
      </w:pPr>
      <w:r>
        <w:rPr>
          <w:rFonts w:hint="eastAsia"/>
          <w:sz w:val="30"/>
          <w:szCs w:val="30"/>
          <w:lang w:val="en-US" w:eastAsia="zh-CN"/>
        </w:rPr>
        <w:t>绩效评价原则、评价指标体系、评价方法和标准</w:t>
      </w:r>
    </w:p>
    <w:p>
      <w:pPr>
        <w:numPr>
          <w:ilvl w:val="0"/>
          <w:numId w:val="0"/>
        </w:numPr>
        <w:ind w:firstLine="600"/>
        <w:jc w:val="left"/>
        <w:rPr>
          <w:rFonts w:hint="eastAsia"/>
          <w:sz w:val="30"/>
          <w:szCs w:val="30"/>
          <w:lang w:val="en-US" w:eastAsia="zh-CN"/>
        </w:rPr>
      </w:pPr>
      <w:r>
        <w:rPr>
          <w:rFonts w:hint="eastAsia"/>
          <w:sz w:val="30"/>
          <w:szCs w:val="30"/>
          <w:lang w:val="en-US" w:eastAsia="zh-CN"/>
        </w:rPr>
        <w:t>绩效评价原则：市教育局对下属预算项目绩效评价本着客观、公正原则，定量与定性评价相结合，以定量分析为主、定性分析为辅，依据充分进行评价。</w:t>
      </w:r>
    </w:p>
    <w:p>
      <w:pPr>
        <w:numPr>
          <w:ilvl w:val="0"/>
          <w:numId w:val="0"/>
        </w:numPr>
        <w:ind w:firstLine="600"/>
        <w:jc w:val="left"/>
        <w:rPr>
          <w:rFonts w:hint="eastAsia"/>
          <w:sz w:val="30"/>
          <w:szCs w:val="30"/>
          <w:lang w:val="en-US" w:eastAsia="zh-CN"/>
        </w:rPr>
      </w:pPr>
      <w:r>
        <w:rPr>
          <w:rFonts w:hint="eastAsia"/>
          <w:sz w:val="30"/>
          <w:szCs w:val="30"/>
          <w:lang w:val="en-US" w:eastAsia="zh-CN"/>
        </w:rPr>
        <w:t>评价指标体系、标准：指标体系分为一级、二级、三级。一级指标分为成本指标、产出指标、效益指标、满意度指标；二级指标分为经济成本指标、数量指标、质量指标、时效指标、社会效益指标、服务对象满意度；三级指标是根据项目具体申报内容进行评价。</w:t>
      </w:r>
    </w:p>
    <w:p>
      <w:pPr>
        <w:numPr>
          <w:ilvl w:val="0"/>
          <w:numId w:val="0"/>
        </w:numPr>
        <w:ind w:firstLine="600"/>
        <w:jc w:val="left"/>
        <w:rPr>
          <w:rFonts w:hint="eastAsia"/>
          <w:sz w:val="30"/>
          <w:szCs w:val="30"/>
          <w:lang w:val="en-US" w:eastAsia="zh-CN"/>
        </w:rPr>
      </w:pPr>
      <w:r>
        <w:rPr>
          <w:rFonts w:hint="eastAsia"/>
          <w:sz w:val="30"/>
          <w:szCs w:val="30"/>
          <w:lang w:val="en-US" w:eastAsia="zh-CN"/>
        </w:rPr>
        <w:t>评价方法：分定量评价和定性评价两个步骤，定量评价以评价项目单位提供的相关资料为基础，经过认真审查和核对，测出定量评价结果；定性评价由听取项目单位领导及相关人员的情况介绍及现场考察提问，经综合分析得出定性评价结果。</w:t>
      </w:r>
    </w:p>
    <w:p>
      <w:pPr>
        <w:numPr>
          <w:ilvl w:val="0"/>
          <w:numId w:val="2"/>
        </w:numPr>
        <w:ind w:left="0" w:leftChars="0" w:firstLine="600" w:firstLineChars="200"/>
        <w:jc w:val="left"/>
        <w:rPr>
          <w:rFonts w:hint="eastAsia"/>
          <w:sz w:val="30"/>
          <w:szCs w:val="30"/>
          <w:lang w:val="en-US" w:eastAsia="zh-CN"/>
        </w:rPr>
      </w:pPr>
      <w:r>
        <w:rPr>
          <w:rFonts w:hint="eastAsia"/>
          <w:sz w:val="30"/>
          <w:szCs w:val="30"/>
          <w:lang w:val="en-US" w:eastAsia="zh-CN"/>
        </w:rPr>
        <w:t>绩效评价工作过程</w:t>
      </w:r>
    </w:p>
    <w:p>
      <w:pPr>
        <w:numPr>
          <w:ilvl w:val="0"/>
          <w:numId w:val="0"/>
        </w:numPr>
        <w:ind w:firstLine="600"/>
        <w:jc w:val="left"/>
        <w:rPr>
          <w:rFonts w:hint="eastAsia"/>
          <w:sz w:val="30"/>
          <w:szCs w:val="30"/>
          <w:lang w:val="en-US" w:eastAsia="zh-CN"/>
        </w:rPr>
      </w:pPr>
      <w:r>
        <w:rPr>
          <w:rFonts w:hint="eastAsia"/>
          <w:sz w:val="30"/>
          <w:szCs w:val="30"/>
          <w:lang w:val="en-US" w:eastAsia="zh-CN"/>
        </w:rPr>
        <w:t>市教育局根据《九江市市级绩效评价管理办法》（九财绩[2020]11号）文件规定，于2024年5月6日至11日开展项目绩效评价工作，绩效评价过程主要包括：</w:t>
      </w:r>
    </w:p>
    <w:p>
      <w:pPr>
        <w:numPr>
          <w:ilvl w:val="0"/>
          <w:numId w:val="3"/>
        </w:numPr>
        <w:ind w:firstLine="600"/>
        <w:jc w:val="left"/>
        <w:rPr>
          <w:rFonts w:hint="eastAsia"/>
          <w:sz w:val="30"/>
          <w:szCs w:val="30"/>
          <w:lang w:val="en-US" w:eastAsia="zh-CN"/>
        </w:rPr>
      </w:pPr>
      <w:r>
        <w:rPr>
          <w:rFonts w:hint="eastAsia"/>
          <w:sz w:val="30"/>
          <w:szCs w:val="30"/>
          <w:lang w:val="en-US" w:eastAsia="zh-CN"/>
        </w:rPr>
        <w:t>前期准备工作：成立绩效评价小组，初步了解专项资金安排的基本情况，细化材料清单，提请专项资金实施单位准备绩效评价相关资料。查阅与专项资金相关的政策、法律、法规文件等资料，询问相关人员，掌握专项资金的具体安排情况。</w:t>
      </w:r>
    </w:p>
    <w:p>
      <w:pPr>
        <w:numPr>
          <w:ilvl w:val="0"/>
          <w:numId w:val="3"/>
        </w:numPr>
        <w:ind w:firstLine="600"/>
        <w:jc w:val="left"/>
        <w:rPr>
          <w:rFonts w:hint="default"/>
          <w:sz w:val="30"/>
          <w:szCs w:val="30"/>
          <w:lang w:val="en-US" w:eastAsia="zh-CN"/>
        </w:rPr>
      </w:pPr>
      <w:r>
        <w:rPr>
          <w:rFonts w:hint="default"/>
          <w:sz w:val="30"/>
          <w:szCs w:val="30"/>
          <w:lang w:val="en-US" w:eastAsia="zh-CN"/>
        </w:rPr>
        <w:t>组织实施情况：全面收集与专项资金相关的数据及政策资料，包括该专项资金所安排的项目资料，通过对有关资料进行分类、整理与分析，按绩效评</w:t>
      </w:r>
      <w:r>
        <w:rPr>
          <w:rFonts w:hint="eastAsia"/>
          <w:sz w:val="30"/>
          <w:szCs w:val="30"/>
          <w:lang w:val="en-US" w:eastAsia="zh-CN"/>
        </w:rPr>
        <w:t>价</w:t>
      </w:r>
      <w:r>
        <w:rPr>
          <w:rFonts w:hint="default"/>
          <w:sz w:val="30"/>
          <w:szCs w:val="30"/>
          <w:lang w:val="en-US" w:eastAsia="zh-CN"/>
        </w:rPr>
        <w:t>相关规定及要求，运用科学合理的评</w:t>
      </w:r>
      <w:r>
        <w:rPr>
          <w:rFonts w:hint="eastAsia"/>
          <w:sz w:val="30"/>
          <w:szCs w:val="30"/>
          <w:lang w:val="en-US" w:eastAsia="zh-CN"/>
        </w:rPr>
        <w:t>价</w:t>
      </w:r>
      <w:r>
        <w:rPr>
          <w:rFonts w:hint="default"/>
          <w:sz w:val="30"/>
          <w:szCs w:val="30"/>
          <w:lang w:val="en-US" w:eastAsia="zh-CN"/>
        </w:rPr>
        <w:t>方法进行综合评</w:t>
      </w:r>
      <w:r>
        <w:rPr>
          <w:rFonts w:hint="eastAsia"/>
          <w:sz w:val="30"/>
          <w:szCs w:val="30"/>
          <w:lang w:val="en-US" w:eastAsia="zh-CN"/>
        </w:rPr>
        <w:t>价</w:t>
      </w:r>
      <w:r>
        <w:rPr>
          <w:rFonts w:hint="default"/>
          <w:sz w:val="30"/>
          <w:szCs w:val="30"/>
          <w:lang w:val="en-US" w:eastAsia="zh-CN"/>
        </w:rPr>
        <w:t>，并给出各指标的评</w:t>
      </w:r>
      <w:r>
        <w:rPr>
          <w:rFonts w:hint="eastAsia"/>
          <w:sz w:val="30"/>
          <w:szCs w:val="30"/>
          <w:lang w:val="en-US" w:eastAsia="zh-CN"/>
        </w:rPr>
        <w:t>价</w:t>
      </w:r>
      <w:r>
        <w:rPr>
          <w:rFonts w:hint="default"/>
          <w:sz w:val="30"/>
          <w:szCs w:val="30"/>
          <w:lang w:val="en-US" w:eastAsia="zh-CN"/>
        </w:rPr>
        <w:t>结果及结论，在此基础上，出具绩效评</w:t>
      </w:r>
      <w:r>
        <w:rPr>
          <w:rFonts w:hint="eastAsia"/>
          <w:sz w:val="30"/>
          <w:szCs w:val="30"/>
          <w:lang w:val="en-US" w:eastAsia="zh-CN"/>
        </w:rPr>
        <w:t>价</w:t>
      </w:r>
      <w:r>
        <w:rPr>
          <w:rFonts w:hint="default"/>
          <w:sz w:val="30"/>
          <w:szCs w:val="30"/>
          <w:lang w:val="en-US" w:eastAsia="zh-CN"/>
        </w:rPr>
        <w:t>报告。</w:t>
      </w:r>
    </w:p>
    <w:p>
      <w:pPr>
        <w:numPr>
          <w:ilvl w:val="0"/>
          <w:numId w:val="0"/>
        </w:numPr>
        <w:ind w:leftChars="200"/>
        <w:jc w:val="left"/>
        <w:rPr>
          <w:rFonts w:hint="eastAsia"/>
          <w:sz w:val="30"/>
          <w:szCs w:val="30"/>
          <w:lang w:val="en-US" w:eastAsia="zh-CN"/>
        </w:rPr>
      </w:pPr>
      <w:r>
        <w:rPr>
          <w:rFonts w:hint="eastAsia"/>
          <w:sz w:val="30"/>
          <w:szCs w:val="30"/>
          <w:lang w:val="en-US" w:eastAsia="zh-CN"/>
        </w:rPr>
        <w:t>三、综合评价情况及评价结论</w:t>
      </w:r>
    </w:p>
    <w:p>
      <w:pPr>
        <w:numPr>
          <w:ilvl w:val="0"/>
          <w:numId w:val="0"/>
        </w:numPr>
        <w:ind w:leftChars="200"/>
        <w:jc w:val="left"/>
        <w:rPr>
          <w:rFonts w:hint="default"/>
          <w:sz w:val="30"/>
          <w:szCs w:val="30"/>
          <w:lang w:val="en-US" w:eastAsia="zh-CN"/>
        </w:rPr>
      </w:pPr>
      <w:r>
        <w:drawing>
          <wp:inline distT="0" distB="0" distL="114300" distR="114300">
            <wp:extent cx="3133090" cy="362902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133090" cy="3629025"/>
                    </a:xfrm>
                    <a:prstGeom prst="rect">
                      <a:avLst/>
                    </a:prstGeom>
                    <a:noFill/>
                    <a:ln>
                      <a:noFill/>
                    </a:ln>
                  </pic:spPr>
                </pic:pic>
              </a:graphicData>
            </a:graphic>
          </wp:inline>
        </w:drawing>
      </w:r>
    </w:p>
    <w:p>
      <w:pPr>
        <w:numPr>
          <w:ilvl w:val="0"/>
          <w:numId w:val="0"/>
        </w:numPr>
        <w:ind w:leftChars="200"/>
        <w:jc w:val="left"/>
        <w:rPr>
          <w:rFonts w:hint="default"/>
          <w:sz w:val="30"/>
          <w:szCs w:val="30"/>
          <w:lang w:val="en-US" w:eastAsia="zh-CN"/>
        </w:rPr>
      </w:pPr>
    </w:p>
    <w:p>
      <w:pPr>
        <w:numPr>
          <w:ilvl w:val="0"/>
          <w:numId w:val="0"/>
        </w:numPr>
        <w:ind w:leftChars="200"/>
        <w:jc w:val="left"/>
        <w:rPr>
          <w:rFonts w:hint="default"/>
          <w:sz w:val="30"/>
          <w:szCs w:val="30"/>
          <w:lang w:val="en-US" w:eastAsia="zh-CN"/>
        </w:rPr>
      </w:pPr>
    </w:p>
    <w:p>
      <w:pPr>
        <w:numPr>
          <w:ilvl w:val="0"/>
          <w:numId w:val="0"/>
        </w:numPr>
        <w:jc w:val="left"/>
        <w:rPr>
          <w:rFonts w:hint="default"/>
          <w:sz w:val="30"/>
          <w:szCs w:val="30"/>
          <w:lang w:val="en-US" w:eastAsia="zh-CN"/>
        </w:rPr>
      </w:pPr>
    </w:p>
    <w:p>
      <w:pPr>
        <w:numPr>
          <w:ilvl w:val="0"/>
          <w:numId w:val="0"/>
        </w:numPr>
        <w:jc w:val="left"/>
        <w:rPr>
          <w:rFonts w:hint="default"/>
          <w:sz w:val="30"/>
          <w:szCs w:val="30"/>
          <w:lang w:val="en-US" w:eastAsia="zh-CN"/>
        </w:rPr>
      </w:pPr>
    </w:p>
    <w:p>
      <w:pPr>
        <w:numPr>
          <w:ilvl w:val="0"/>
          <w:numId w:val="4"/>
        </w:numPr>
        <w:ind w:left="600" w:leftChars="0" w:firstLine="0" w:firstLineChars="0"/>
        <w:jc w:val="left"/>
        <w:rPr>
          <w:rFonts w:hint="eastAsia"/>
          <w:sz w:val="30"/>
          <w:szCs w:val="30"/>
          <w:lang w:val="en-US" w:eastAsia="zh-CN"/>
        </w:rPr>
      </w:pPr>
      <w:r>
        <w:rPr>
          <w:rFonts w:hint="eastAsia"/>
          <w:sz w:val="30"/>
          <w:szCs w:val="30"/>
          <w:lang w:val="en-US" w:eastAsia="zh-CN"/>
        </w:rPr>
        <w:t>绩效评价指标分析</w:t>
      </w:r>
    </w:p>
    <w:p>
      <w:pPr>
        <w:numPr>
          <w:ilvl w:val="0"/>
          <w:numId w:val="5"/>
        </w:numPr>
        <w:ind w:left="600" w:leftChars="0"/>
        <w:jc w:val="left"/>
        <w:rPr>
          <w:rFonts w:hint="eastAsia"/>
          <w:sz w:val="30"/>
          <w:szCs w:val="30"/>
          <w:lang w:val="en-US" w:eastAsia="zh-CN"/>
        </w:rPr>
      </w:pPr>
      <w:r>
        <w:rPr>
          <w:rFonts w:hint="eastAsia"/>
          <w:sz w:val="30"/>
          <w:szCs w:val="30"/>
          <w:lang w:val="en-US" w:eastAsia="zh-CN"/>
        </w:rPr>
        <w:t>、项目决策情况</w:t>
      </w:r>
    </w:p>
    <w:p>
      <w:pPr>
        <w:numPr>
          <w:ilvl w:val="0"/>
          <w:numId w:val="0"/>
        </w:numPr>
        <w:ind w:firstLine="600"/>
        <w:jc w:val="left"/>
        <w:rPr>
          <w:rFonts w:hint="eastAsia"/>
          <w:sz w:val="30"/>
          <w:szCs w:val="30"/>
          <w:lang w:val="en-US" w:eastAsia="zh-CN"/>
        </w:rPr>
      </w:pPr>
      <w:r>
        <w:rPr>
          <w:rFonts w:hint="eastAsia"/>
          <w:sz w:val="30"/>
          <w:szCs w:val="30"/>
          <w:lang w:val="en-US" w:eastAsia="zh-CN"/>
        </w:rPr>
        <w:t>九江开放大学实施的全市中小学教师培训项目，该项目完成了培训方案所安排的部分培训工作。培训项目在注重教师的专业素养提升、适应当前教育变革等方面进行全面教学，从而促进教师专业成长、提高教学质量，受到了参训学员的好评。</w:t>
      </w:r>
      <w:bookmarkStart w:id="0" w:name="_GoBack"/>
      <w:bookmarkEnd w:id="0"/>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、项目过程情况</w:t>
      </w:r>
    </w:p>
    <w:p>
      <w:pPr>
        <w:numPr>
          <w:ilvl w:val="0"/>
          <w:numId w:val="0"/>
        </w:numPr>
        <w:ind w:firstLine="600" w:firstLineChars="200"/>
        <w:jc w:val="left"/>
        <w:rPr>
          <w:rFonts w:hint="default"/>
          <w:sz w:val="30"/>
          <w:szCs w:val="30"/>
          <w:lang w:val="en-US" w:eastAsia="zh-CN"/>
        </w:rPr>
      </w:pPr>
      <w:r>
        <w:rPr>
          <w:rFonts w:hint="eastAsia"/>
          <w:sz w:val="30"/>
          <w:szCs w:val="30"/>
          <w:lang w:val="en-US" w:eastAsia="zh-CN"/>
        </w:rPr>
        <w:t>全市中小学教师培训项目预算安排230万元，实际支出110.6万元，未完成预期安排的所有项目。</w:t>
      </w:r>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、项目产出情况</w:t>
      </w:r>
    </w:p>
    <w:p>
      <w:pPr>
        <w:numPr>
          <w:ilvl w:val="0"/>
          <w:numId w:val="0"/>
        </w:numPr>
        <w:ind w:firstLine="600"/>
        <w:jc w:val="left"/>
        <w:rPr>
          <w:rFonts w:hint="default"/>
          <w:sz w:val="30"/>
          <w:szCs w:val="30"/>
          <w:lang w:val="en-US" w:eastAsia="zh-CN"/>
        </w:rPr>
      </w:pPr>
      <w:r>
        <w:rPr>
          <w:rFonts w:hint="eastAsia"/>
          <w:sz w:val="30"/>
          <w:szCs w:val="30"/>
          <w:lang w:val="en-US" w:eastAsia="zh-CN"/>
        </w:rPr>
        <w:t>全市中小学教师培训项目完成了计划安排的4500人培训，培训合格率100%，并按时间节点完成了实施的培训工作。</w:t>
      </w:r>
    </w:p>
    <w:p>
      <w:pPr>
        <w:numPr>
          <w:ilvl w:val="0"/>
          <w:numId w:val="5"/>
        </w:numPr>
        <w:ind w:left="600" w:leftChars="0" w:firstLine="0" w:firstLineChars="0"/>
        <w:jc w:val="left"/>
        <w:rPr>
          <w:rFonts w:hint="eastAsia"/>
          <w:sz w:val="30"/>
          <w:szCs w:val="30"/>
          <w:lang w:val="en-US" w:eastAsia="zh-CN"/>
        </w:rPr>
      </w:pPr>
      <w:r>
        <w:rPr>
          <w:rFonts w:hint="eastAsia"/>
          <w:sz w:val="30"/>
          <w:szCs w:val="30"/>
          <w:lang w:val="en-US" w:eastAsia="zh-CN"/>
        </w:rPr>
        <w:t>、项目效益情况</w:t>
      </w:r>
    </w:p>
    <w:p>
      <w:pPr>
        <w:numPr>
          <w:ilvl w:val="0"/>
          <w:numId w:val="0"/>
        </w:numPr>
        <w:ind w:firstLine="600"/>
        <w:jc w:val="left"/>
        <w:rPr>
          <w:rFonts w:hint="eastAsia"/>
          <w:sz w:val="30"/>
          <w:szCs w:val="30"/>
          <w:lang w:val="en-US" w:eastAsia="zh-CN"/>
        </w:rPr>
      </w:pPr>
      <w:r>
        <w:rPr>
          <w:rFonts w:hint="eastAsia"/>
          <w:sz w:val="30"/>
          <w:szCs w:val="30"/>
          <w:lang w:val="en-US" w:eastAsia="zh-CN"/>
        </w:rPr>
        <w:t>全市中小学教师培训项目的实施，提升了教师专业素养，提高全市教师教育水平，从而促进全市教育事业发展。</w:t>
      </w:r>
    </w:p>
    <w:p>
      <w:pPr>
        <w:numPr>
          <w:ilvl w:val="0"/>
          <w:numId w:val="4"/>
        </w:numPr>
        <w:ind w:left="600" w:leftChars="0" w:firstLine="0" w:firstLineChars="0"/>
        <w:jc w:val="left"/>
        <w:rPr>
          <w:rFonts w:hint="eastAsia"/>
          <w:sz w:val="30"/>
          <w:szCs w:val="30"/>
          <w:lang w:val="en-US" w:eastAsia="zh-CN"/>
        </w:rPr>
      </w:pPr>
      <w:r>
        <w:rPr>
          <w:rFonts w:hint="eastAsia"/>
          <w:sz w:val="30"/>
          <w:szCs w:val="30"/>
          <w:lang w:val="en-US" w:eastAsia="zh-CN"/>
        </w:rPr>
        <w:t>有关建议</w:t>
      </w:r>
    </w:p>
    <w:p>
      <w:pPr>
        <w:numPr>
          <w:ilvl w:val="0"/>
          <w:numId w:val="0"/>
        </w:numPr>
        <w:ind w:firstLine="600" w:firstLineChars="200"/>
        <w:jc w:val="left"/>
        <w:rPr>
          <w:rFonts w:hint="default"/>
          <w:sz w:val="30"/>
          <w:szCs w:val="30"/>
          <w:lang w:val="en-US" w:eastAsia="zh-CN"/>
        </w:rPr>
      </w:pPr>
      <w:r>
        <w:rPr>
          <w:rFonts w:hint="eastAsia"/>
          <w:sz w:val="30"/>
          <w:szCs w:val="30"/>
          <w:lang w:val="en-US" w:eastAsia="zh-CN"/>
        </w:rPr>
        <w:t>建议九江开放大学在上年做好下年度培训实施方案，并做到精准预算，提高资金使用效益，确保教师培训工作全部完成，达到预算申报目标。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D3607D"/>
    <w:multiLevelType w:val="singleLevel"/>
    <w:tmpl w:val="B0D3607D"/>
    <w:lvl w:ilvl="0" w:tentative="0">
      <w:start w:val="2"/>
      <w:numFmt w:val="chineseCounting"/>
      <w:suff w:val="nothing"/>
      <w:lvlText w:val="（%1）"/>
      <w:lvlJc w:val="left"/>
      <w:rPr>
        <w:rFonts w:hint="eastAsia"/>
      </w:rPr>
    </w:lvl>
  </w:abstractNum>
  <w:abstractNum w:abstractNumId="1">
    <w:nsid w:val="33909EE0"/>
    <w:multiLevelType w:val="singleLevel"/>
    <w:tmpl w:val="33909EE0"/>
    <w:lvl w:ilvl="0" w:tentative="0">
      <w:start w:val="1"/>
      <w:numFmt w:val="chineseCounting"/>
      <w:suff w:val="nothing"/>
      <w:lvlText w:val="%1、"/>
      <w:lvlJc w:val="left"/>
      <w:rPr>
        <w:rFonts w:hint="eastAsia"/>
      </w:rPr>
    </w:lvl>
  </w:abstractNum>
  <w:abstractNum w:abstractNumId="2">
    <w:nsid w:val="3E84D372"/>
    <w:multiLevelType w:val="singleLevel"/>
    <w:tmpl w:val="3E84D372"/>
    <w:lvl w:ilvl="0" w:tentative="0">
      <w:start w:val="4"/>
      <w:numFmt w:val="chineseCounting"/>
      <w:suff w:val="nothing"/>
      <w:lvlText w:val="%1、"/>
      <w:lvlJc w:val="left"/>
      <w:pPr>
        <w:ind w:left="600" w:leftChars="0" w:firstLine="0" w:firstLineChars="0"/>
      </w:pPr>
      <w:rPr>
        <w:rFonts w:hint="eastAsia"/>
      </w:rPr>
    </w:lvl>
  </w:abstractNum>
  <w:abstractNum w:abstractNumId="3">
    <w:nsid w:val="59182F8B"/>
    <w:multiLevelType w:val="singleLevel"/>
    <w:tmpl w:val="59182F8B"/>
    <w:lvl w:ilvl="0" w:tentative="0">
      <w:start w:val="1"/>
      <w:numFmt w:val="decimal"/>
      <w:suff w:val="nothing"/>
      <w:lvlText w:val="%1、"/>
      <w:lvlJc w:val="left"/>
    </w:lvl>
  </w:abstractNum>
  <w:abstractNum w:abstractNumId="4">
    <w:nsid w:val="6A6B1DEA"/>
    <w:multiLevelType w:val="singleLevel"/>
    <w:tmpl w:val="6A6B1DEA"/>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jJmOGU1ZDIwODgzZWVlNjkzOGIyODIxMDAxNGQifQ=="/>
  </w:docVars>
  <w:rsids>
    <w:rsidRoot w:val="00000000"/>
    <w:rsid w:val="07B62F76"/>
    <w:rsid w:val="14E1247B"/>
    <w:rsid w:val="2EF07782"/>
    <w:rsid w:val="305A690B"/>
    <w:rsid w:val="47F20E6B"/>
    <w:rsid w:val="49753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cp:lastModifiedBy>♀waiting♀</cp:lastModifiedBy>
  <dcterms:modified xsi:type="dcterms:W3CDTF">2024-05-13T10:12:20Z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CD87D972D440412B9F2BEE6E641BF9A7_12</vt:lpwstr>
  </property>
</Properties>
</file>