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media/image10.webp" ContentType="image/webp"/>
  <Override PartName="/word/media/image2.webp" ContentType="image/webp"/>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8C6A6">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14:paraId="726240F1">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14:paraId="5ACA3CA6">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14:paraId="487E60AC">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14:paraId="54EF5C50">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14:paraId="0A753981">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14:paraId="3EA5B1CD">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14:paraId="7FA511C2">
      <w:pPr>
        <w:keepNext w:val="0"/>
        <w:keepLines w:val="0"/>
        <w:pageBreakBefore w:val="0"/>
        <w:widowControl/>
        <w:kinsoku/>
        <w:wordWrap/>
        <w:overflowPunct/>
        <w:topLinePunct/>
        <w:autoSpaceDE w:val="0"/>
        <w:autoSpaceDN w:val="0"/>
        <w:bidi w:val="0"/>
        <w:adjustRightInd w:val="0"/>
        <w:snapToGrid w:val="0"/>
        <w:spacing w:line="240" w:lineRule="auto"/>
        <w:ind w:firstLine="0" w:firstLineChars="0"/>
        <w:jc w:val="left"/>
        <w:textAlignment w:val="baseline"/>
        <w:outlineLvl w:val="9"/>
        <w:rPr>
          <w:rFonts w:ascii="Arial" w:hAnsi="Arial" w:eastAsia="Arial" w:cs="Arial"/>
          <w:snapToGrid w:val="0"/>
          <w:color w:val="000000"/>
          <w:kern w:val="0"/>
          <w:sz w:val="21"/>
          <w:szCs w:val="21"/>
        </w:rPr>
      </w:pPr>
    </w:p>
    <w:p w14:paraId="703C1BD0">
      <w:pPr>
        <w:keepNext w:val="0"/>
        <w:keepLines w:val="0"/>
        <w:pageBreakBefore w:val="0"/>
        <w:widowControl/>
        <w:kinsoku/>
        <w:wordWrap/>
        <w:overflowPunct/>
        <w:topLinePunct/>
        <w:autoSpaceDE w:val="0"/>
        <w:autoSpaceDN w:val="0"/>
        <w:bidi w:val="0"/>
        <w:adjustRightInd w:val="0"/>
        <w:snapToGrid w:val="0"/>
        <w:spacing w:line="241" w:lineRule="auto"/>
        <w:ind w:firstLine="0" w:firstLineChars="0"/>
        <w:jc w:val="left"/>
        <w:textAlignment w:val="baseline"/>
        <w:outlineLvl w:val="9"/>
        <w:rPr>
          <w:rFonts w:ascii="Arial" w:hAnsi="Arial" w:eastAsia="Arial" w:cs="Arial"/>
          <w:snapToGrid w:val="0"/>
          <w:color w:val="000000"/>
          <w:kern w:val="0"/>
          <w:sz w:val="21"/>
          <w:szCs w:val="21"/>
        </w:rPr>
      </w:pPr>
    </w:p>
    <w:p w14:paraId="676221F2">
      <w:pPr>
        <w:keepNext w:val="0"/>
        <w:keepLines w:val="0"/>
        <w:pageBreakBefore w:val="0"/>
        <w:widowControl/>
        <w:kinsoku/>
        <w:wordWrap/>
        <w:overflowPunct/>
        <w:topLinePunct/>
        <w:autoSpaceDE w:val="0"/>
        <w:autoSpaceDN w:val="0"/>
        <w:bidi w:val="0"/>
        <w:adjustRightInd w:val="0"/>
        <w:snapToGrid w:val="0"/>
        <w:spacing w:line="241" w:lineRule="auto"/>
        <w:ind w:firstLine="0" w:firstLineChars="0"/>
        <w:jc w:val="left"/>
        <w:textAlignment w:val="baseline"/>
        <w:outlineLvl w:val="9"/>
        <w:rPr>
          <w:rFonts w:ascii="Arial" w:hAnsi="Arial" w:eastAsia="Arial" w:cs="Arial"/>
          <w:snapToGrid w:val="0"/>
          <w:color w:val="000000"/>
          <w:kern w:val="0"/>
          <w:sz w:val="21"/>
          <w:szCs w:val="21"/>
        </w:rPr>
      </w:pPr>
    </w:p>
    <w:p w14:paraId="0C22EA36">
      <w:pPr>
        <w:keepNext w:val="0"/>
        <w:keepLines w:val="0"/>
        <w:pageBreakBefore w:val="0"/>
        <w:widowControl/>
        <w:kinsoku/>
        <w:wordWrap/>
        <w:overflowPunct/>
        <w:topLinePunct/>
        <w:autoSpaceDE w:val="0"/>
        <w:autoSpaceDN w:val="0"/>
        <w:bidi w:val="0"/>
        <w:adjustRightInd w:val="0"/>
        <w:snapToGrid w:val="0"/>
        <w:spacing w:before="309" w:line="183" w:lineRule="auto"/>
        <w:ind w:firstLine="243" w:firstLineChars="0"/>
        <w:jc w:val="center"/>
        <w:textAlignment w:val="baseline"/>
        <w:outlineLvl w:val="9"/>
        <w:rPr>
          <w:rFonts w:ascii="微软雅黑" w:hAnsi="微软雅黑" w:eastAsia="微软雅黑" w:cs="微软雅黑"/>
          <w:snapToGrid w:val="0"/>
          <w:color w:val="000000"/>
          <w:kern w:val="0"/>
          <w:sz w:val="72"/>
          <w:szCs w:val="72"/>
        </w:rPr>
      </w:pPr>
      <w:bookmarkStart w:id="0" w:name="_Toc4889"/>
      <w:bookmarkStart w:id="1" w:name="_Toc22627"/>
      <w:bookmarkStart w:id="2" w:name="_Toc19472"/>
      <w:bookmarkStart w:id="3" w:name="_Toc22040"/>
      <w:bookmarkStart w:id="4" w:name="_Toc15970"/>
      <w:bookmarkStart w:id="5" w:name="_Toc26104"/>
      <w:r>
        <w:rPr>
          <w:rFonts w:hint="eastAsia" w:ascii="方正小标宋简体" w:hAnsi="方正小标宋简体" w:eastAsia="方正小标宋简体" w:cs="方正小标宋简体"/>
          <w:snapToGrid w:val="0"/>
          <w:color w:val="000000"/>
          <w:spacing w:val="-2"/>
          <w:kern w:val="0"/>
          <w:sz w:val="72"/>
          <w:szCs w:val="72"/>
        </w:rPr>
        <w:t>九江市中等职业教育质</w:t>
      </w:r>
      <w:r>
        <w:rPr>
          <w:rFonts w:hint="eastAsia" w:ascii="方正小标宋简体" w:hAnsi="方正小标宋简体" w:eastAsia="方正小标宋简体" w:cs="方正小标宋简体"/>
          <w:snapToGrid w:val="0"/>
          <w:color w:val="000000"/>
          <w:spacing w:val="-1"/>
          <w:kern w:val="0"/>
          <w:sz w:val="72"/>
          <w:szCs w:val="72"/>
        </w:rPr>
        <w:t>量</w:t>
      </w:r>
      <w:bookmarkEnd w:id="0"/>
      <w:bookmarkEnd w:id="1"/>
      <w:bookmarkEnd w:id="2"/>
      <w:bookmarkEnd w:id="3"/>
      <w:bookmarkEnd w:id="4"/>
      <w:bookmarkEnd w:id="5"/>
    </w:p>
    <w:p w14:paraId="45CDF96F">
      <w:pPr>
        <w:keepNext w:val="0"/>
        <w:keepLines w:val="0"/>
        <w:pageBreakBefore w:val="0"/>
        <w:widowControl/>
        <w:kinsoku/>
        <w:wordWrap/>
        <w:overflowPunct/>
        <w:topLinePunct/>
        <w:autoSpaceDE w:val="0"/>
        <w:autoSpaceDN w:val="0"/>
        <w:bidi w:val="0"/>
        <w:adjustRightInd w:val="0"/>
        <w:snapToGrid w:val="0"/>
        <w:spacing w:line="182" w:lineRule="auto"/>
        <w:ind w:firstLine="0" w:firstLineChars="0"/>
        <w:jc w:val="center"/>
        <w:textAlignment w:val="baseline"/>
        <w:outlineLvl w:val="9"/>
        <w:rPr>
          <w:rFonts w:ascii="方正小标宋简体" w:hAnsi="方正小标宋简体" w:eastAsia="方正小标宋简体" w:cs="方正小标宋简体"/>
          <w:snapToGrid w:val="0"/>
          <w:color w:val="000000"/>
          <w:spacing w:val="-2"/>
          <w:kern w:val="0"/>
          <w:sz w:val="72"/>
          <w:szCs w:val="72"/>
        </w:rPr>
      </w:pPr>
      <w:r>
        <w:rPr>
          <w:rFonts w:hint="eastAsia" w:ascii="方正小标宋简体" w:hAnsi="方正小标宋简体" w:eastAsia="方正小标宋简体" w:cs="方正小标宋简体"/>
          <w:snapToGrid w:val="0"/>
          <w:color w:val="000000"/>
          <w:spacing w:val="-2"/>
          <w:kern w:val="0"/>
          <w:sz w:val="72"/>
          <w:szCs w:val="72"/>
        </w:rPr>
        <w:t>年度报告</w:t>
      </w:r>
    </w:p>
    <w:p w14:paraId="628BD38A">
      <w:pPr>
        <w:keepNext w:val="0"/>
        <w:keepLines w:val="0"/>
        <w:pageBreakBefore w:val="0"/>
        <w:widowControl/>
        <w:kinsoku/>
        <w:wordWrap/>
        <w:overflowPunct/>
        <w:topLinePunct/>
        <w:autoSpaceDE w:val="0"/>
        <w:autoSpaceDN w:val="0"/>
        <w:bidi w:val="0"/>
        <w:adjustRightInd w:val="0"/>
        <w:snapToGrid w:val="0"/>
        <w:spacing w:beforeLines="100" w:line="206" w:lineRule="auto"/>
        <w:ind w:firstLine="0" w:firstLineChars="0"/>
        <w:jc w:val="center"/>
        <w:textAlignment w:val="baseline"/>
        <w:outlineLvl w:val="9"/>
        <w:rPr>
          <w:rFonts w:ascii="微软雅黑" w:hAnsi="微软雅黑" w:eastAsia="微软雅黑" w:cs="微软雅黑"/>
          <w:snapToGrid w:val="0"/>
          <w:color w:val="000000"/>
          <w:kern w:val="0"/>
          <w:sz w:val="52"/>
          <w:szCs w:val="52"/>
        </w:rPr>
      </w:pPr>
      <w:r>
        <w:rPr>
          <w:rFonts w:hint="eastAsia" w:ascii="方正小标宋简体" w:hAnsi="方正小标宋简体" w:eastAsia="方正小标宋简体" w:cs="方正小标宋简体"/>
          <w:snapToGrid w:val="0"/>
          <w:color w:val="000000"/>
          <w:spacing w:val="10"/>
          <w:kern w:val="0"/>
          <w:sz w:val="52"/>
          <w:szCs w:val="52"/>
        </w:rPr>
        <w:t>（</w:t>
      </w:r>
      <w:r>
        <w:rPr>
          <w:rFonts w:ascii="Times New Roman" w:hAnsi="Times New Roman" w:eastAsia="Times New Roman" w:cs="Times New Roman"/>
          <w:snapToGrid w:val="0"/>
          <w:color w:val="000000"/>
          <w:spacing w:val="5"/>
          <w:kern w:val="0"/>
          <w:sz w:val="52"/>
          <w:szCs w:val="52"/>
        </w:rPr>
        <w:t>202</w:t>
      </w:r>
      <w:r>
        <w:rPr>
          <w:rFonts w:hint="eastAsia" w:cs="Times New Roman"/>
          <w:snapToGrid w:val="0"/>
          <w:color w:val="000000"/>
          <w:spacing w:val="5"/>
          <w:kern w:val="0"/>
          <w:sz w:val="52"/>
          <w:szCs w:val="52"/>
          <w:lang w:val="en-US" w:eastAsia="zh-CN"/>
        </w:rPr>
        <w:t>4</w:t>
      </w:r>
      <w:r>
        <w:rPr>
          <w:rFonts w:ascii="Times New Roman" w:hAnsi="Times New Roman" w:eastAsia="Times New Roman" w:cs="Times New Roman"/>
          <w:snapToGrid w:val="0"/>
          <w:color w:val="000000"/>
          <w:spacing w:val="4"/>
          <w:kern w:val="0"/>
          <w:sz w:val="52"/>
          <w:szCs w:val="52"/>
        </w:rPr>
        <w:t xml:space="preserve"> </w:t>
      </w:r>
      <w:r>
        <w:rPr>
          <w:rFonts w:hint="eastAsia" w:ascii="方正小标宋简体" w:hAnsi="方正小标宋简体" w:eastAsia="方正小标宋简体" w:cs="方正小标宋简体"/>
          <w:snapToGrid w:val="0"/>
          <w:color w:val="000000"/>
          <w:spacing w:val="10"/>
          <w:kern w:val="0"/>
          <w:sz w:val="52"/>
          <w:szCs w:val="52"/>
        </w:rPr>
        <w:t>年</w:t>
      </w:r>
      <w:r>
        <w:rPr>
          <w:rFonts w:hint="eastAsia" w:ascii="方正小标宋简体" w:hAnsi="方正小标宋简体" w:eastAsia="方正小标宋简体" w:cs="方正小标宋简体"/>
          <w:snapToGrid w:val="0"/>
          <w:color w:val="000000"/>
          <w:spacing w:val="13"/>
          <w:kern w:val="0"/>
          <w:sz w:val="52"/>
          <w:szCs w:val="52"/>
        </w:rPr>
        <w:t>）</w:t>
      </w:r>
    </w:p>
    <w:p w14:paraId="6472438A">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6437C496">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4305F7D0">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609F1BF7">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600B18A0">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014147DC">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5E536744">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27465141">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1D01F03B">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7C11B339">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66BD77DB">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127B381E">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4E9652DF">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79A4D06C">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0345611B">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37CD7952">
      <w:pPr>
        <w:keepNext w:val="0"/>
        <w:keepLines w:val="0"/>
        <w:pageBreakBefore w:val="0"/>
        <w:widowControl/>
        <w:kinsoku/>
        <w:wordWrap/>
        <w:overflowPunct/>
        <w:topLinePunct/>
        <w:autoSpaceDE w:val="0"/>
        <w:autoSpaceDN w:val="0"/>
        <w:bidi w:val="0"/>
        <w:adjustRightInd w:val="0"/>
        <w:snapToGrid w:val="0"/>
        <w:spacing w:line="253" w:lineRule="auto"/>
        <w:ind w:firstLine="0" w:firstLineChars="0"/>
        <w:jc w:val="left"/>
        <w:textAlignment w:val="baseline"/>
        <w:outlineLvl w:val="9"/>
        <w:rPr>
          <w:rFonts w:ascii="Arial" w:hAnsi="Arial" w:eastAsia="Arial" w:cs="Arial"/>
          <w:snapToGrid w:val="0"/>
          <w:color w:val="000000"/>
          <w:kern w:val="0"/>
          <w:sz w:val="21"/>
          <w:szCs w:val="21"/>
        </w:rPr>
      </w:pPr>
    </w:p>
    <w:p w14:paraId="03EEE919">
      <w:pPr>
        <w:keepNext w:val="0"/>
        <w:keepLines w:val="0"/>
        <w:pageBreakBefore w:val="0"/>
        <w:widowControl/>
        <w:kinsoku/>
        <w:wordWrap/>
        <w:overflowPunct/>
        <w:topLinePunct/>
        <w:autoSpaceDE w:val="0"/>
        <w:autoSpaceDN w:val="0"/>
        <w:bidi w:val="0"/>
        <w:adjustRightInd w:val="0"/>
        <w:snapToGrid w:val="0"/>
        <w:spacing w:line="254" w:lineRule="auto"/>
        <w:ind w:firstLine="0" w:firstLineChars="0"/>
        <w:jc w:val="left"/>
        <w:textAlignment w:val="baseline"/>
        <w:outlineLvl w:val="9"/>
        <w:rPr>
          <w:rFonts w:ascii="Arial" w:hAnsi="Arial" w:eastAsia="Arial" w:cs="Arial"/>
          <w:snapToGrid w:val="0"/>
          <w:color w:val="000000"/>
          <w:kern w:val="0"/>
          <w:sz w:val="21"/>
          <w:szCs w:val="21"/>
        </w:rPr>
      </w:pPr>
    </w:p>
    <w:p w14:paraId="1BA2DC9C">
      <w:pPr>
        <w:keepNext w:val="0"/>
        <w:keepLines w:val="0"/>
        <w:pageBreakBefore w:val="0"/>
        <w:widowControl/>
        <w:kinsoku/>
        <w:wordWrap/>
        <w:overflowPunct/>
        <w:topLinePunct/>
        <w:autoSpaceDE w:val="0"/>
        <w:autoSpaceDN w:val="0"/>
        <w:bidi w:val="0"/>
        <w:adjustRightInd w:val="0"/>
        <w:snapToGrid w:val="0"/>
        <w:spacing w:before="140" w:line="624" w:lineRule="exact"/>
        <w:ind w:firstLine="2897" w:firstLineChars="0"/>
        <w:jc w:val="left"/>
        <w:textAlignment w:val="baseline"/>
        <w:outlineLvl w:val="9"/>
        <w:rPr>
          <w:rFonts w:ascii="仿宋" w:hAnsi="仿宋" w:eastAsia="仿宋" w:cs="仿宋"/>
          <w:snapToGrid w:val="0"/>
          <w:color w:val="000000"/>
          <w:kern w:val="0"/>
          <w:sz w:val="43"/>
          <w:szCs w:val="43"/>
        </w:rPr>
      </w:pPr>
      <w:bookmarkStart w:id="6" w:name="_Toc5293"/>
      <w:bookmarkStart w:id="7" w:name="_Toc17483"/>
      <w:bookmarkStart w:id="8" w:name="_Toc19705"/>
      <w:bookmarkStart w:id="9" w:name="_Toc5325"/>
      <w:bookmarkStart w:id="10" w:name="_Toc5311"/>
      <w:bookmarkStart w:id="11" w:name="_Toc14329"/>
      <w:r>
        <w:rPr>
          <w:rFonts w:hint="eastAsia" w:ascii="仿宋" w:hAnsi="仿宋" w:eastAsia="仿宋" w:cs="仿宋"/>
          <w:snapToGrid w:val="0"/>
          <w:color w:val="000000"/>
          <w:spacing w:val="4"/>
          <w:kern w:val="0"/>
          <w:position w:val="13"/>
          <w:sz w:val="43"/>
          <w:szCs w:val="43"/>
        </w:rPr>
        <w:t>九江</w:t>
      </w:r>
      <w:r>
        <w:rPr>
          <w:rFonts w:ascii="仿宋" w:hAnsi="仿宋" w:eastAsia="仿宋" w:cs="仿宋"/>
          <w:snapToGrid w:val="0"/>
          <w:color w:val="000000"/>
          <w:spacing w:val="4"/>
          <w:kern w:val="0"/>
          <w:position w:val="13"/>
          <w:sz w:val="43"/>
          <w:szCs w:val="43"/>
        </w:rPr>
        <w:t>市教</w:t>
      </w:r>
      <w:r>
        <w:rPr>
          <w:rFonts w:ascii="仿宋" w:hAnsi="仿宋" w:eastAsia="仿宋" w:cs="仿宋"/>
          <w:snapToGrid w:val="0"/>
          <w:color w:val="000000"/>
          <w:spacing w:val="3"/>
          <w:kern w:val="0"/>
          <w:position w:val="13"/>
          <w:sz w:val="43"/>
          <w:szCs w:val="43"/>
        </w:rPr>
        <w:t>育局</w:t>
      </w:r>
      <w:bookmarkEnd w:id="6"/>
      <w:bookmarkEnd w:id="7"/>
      <w:bookmarkEnd w:id="8"/>
      <w:bookmarkEnd w:id="9"/>
      <w:bookmarkEnd w:id="10"/>
      <w:bookmarkEnd w:id="11"/>
    </w:p>
    <w:p w14:paraId="6A771AF6">
      <w:pPr>
        <w:keepNext w:val="0"/>
        <w:keepLines w:val="0"/>
        <w:pageBreakBefore w:val="0"/>
        <w:widowControl/>
        <w:kinsoku/>
        <w:wordWrap/>
        <w:overflowPunct/>
        <w:autoSpaceDE/>
        <w:autoSpaceDN/>
        <w:bidi w:val="0"/>
        <w:adjustRightInd/>
        <w:snapToGrid/>
        <w:spacing w:line="240" w:lineRule="auto"/>
        <w:ind w:firstLine="0" w:firstLineChars="0"/>
        <w:jc w:val="center"/>
        <w:textAlignment w:val="auto"/>
        <w:outlineLvl w:val="9"/>
        <w:rPr>
          <w:rFonts w:ascii="仿宋" w:hAnsi="仿宋" w:eastAsia="仿宋" w:cs="仿宋"/>
          <w:snapToGrid w:val="0"/>
          <w:color w:val="000000"/>
          <w:kern w:val="0"/>
          <w:sz w:val="43"/>
          <w:szCs w:val="43"/>
        </w:rPr>
      </w:pPr>
      <w:bookmarkStart w:id="12" w:name="_Toc7502"/>
      <w:bookmarkStart w:id="13" w:name="_Toc3153"/>
      <w:bookmarkStart w:id="14" w:name="_Toc28454"/>
      <w:bookmarkStart w:id="15" w:name="_Toc17893"/>
      <w:bookmarkStart w:id="16" w:name="_Toc21521"/>
      <w:r>
        <w:rPr>
          <w:rFonts w:ascii="Times New Roman" w:hAnsi="Times New Roman" w:eastAsia="Times New Roman" w:cs="Times New Roman"/>
          <w:snapToGrid w:val="0"/>
          <w:color w:val="000000"/>
          <w:spacing w:val="-1"/>
          <w:kern w:val="0"/>
          <w:sz w:val="43"/>
          <w:szCs w:val="43"/>
        </w:rPr>
        <w:t>202</w:t>
      </w:r>
      <w:r>
        <w:rPr>
          <w:rFonts w:hint="eastAsia" w:cs="Times New Roman"/>
          <w:snapToGrid w:val="0"/>
          <w:color w:val="000000"/>
          <w:spacing w:val="-1"/>
          <w:kern w:val="0"/>
          <w:sz w:val="43"/>
          <w:szCs w:val="43"/>
          <w:lang w:val="en-US" w:eastAsia="zh-CN"/>
        </w:rPr>
        <w:t>5</w:t>
      </w:r>
      <w:r>
        <w:rPr>
          <w:rFonts w:ascii="Times New Roman" w:hAnsi="Times New Roman" w:eastAsia="Times New Roman" w:cs="Times New Roman"/>
          <w:snapToGrid w:val="0"/>
          <w:color w:val="000000"/>
          <w:spacing w:val="-6"/>
          <w:kern w:val="0"/>
          <w:sz w:val="43"/>
          <w:szCs w:val="43"/>
        </w:rPr>
        <w:t xml:space="preserve"> </w:t>
      </w:r>
      <w:r>
        <w:rPr>
          <w:rFonts w:ascii="仿宋" w:hAnsi="仿宋" w:eastAsia="仿宋" w:cs="仿宋"/>
          <w:snapToGrid w:val="0"/>
          <w:color w:val="000000"/>
          <w:spacing w:val="-1"/>
          <w:kern w:val="0"/>
          <w:sz w:val="43"/>
          <w:szCs w:val="43"/>
        </w:rPr>
        <w:t>年</w:t>
      </w:r>
      <w:r>
        <w:rPr>
          <w:rFonts w:ascii="仿宋" w:hAnsi="仿宋" w:eastAsia="仿宋" w:cs="仿宋"/>
          <w:snapToGrid w:val="0"/>
          <w:color w:val="000000"/>
          <w:spacing w:val="-10"/>
          <w:kern w:val="0"/>
          <w:sz w:val="43"/>
          <w:szCs w:val="43"/>
        </w:rPr>
        <w:t xml:space="preserve"> </w:t>
      </w:r>
      <w:r>
        <w:rPr>
          <w:rFonts w:hint="eastAsia" w:eastAsia="宋体" w:cs="Times New Roman"/>
          <w:snapToGrid w:val="0"/>
          <w:color w:val="000000"/>
          <w:spacing w:val="-1"/>
          <w:kern w:val="0"/>
          <w:sz w:val="43"/>
          <w:szCs w:val="43"/>
          <w:lang w:val="en-US" w:eastAsia="zh-CN"/>
        </w:rPr>
        <w:t>1</w:t>
      </w:r>
      <w:r>
        <w:rPr>
          <w:rFonts w:ascii="Times New Roman" w:hAnsi="Times New Roman" w:eastAsia="Times New Roman" w:cs="Times New Roman"/>
          <w:snapToGrid w:val="0"/>
          <w:color w:val="000000"/>
          <w:spacing w:val="-6"/>
          <w:kern w:val="0"/>
          <w:sz w:val="43"/>
          <w:szCs w:val="43"/>
        </w:rPr>
        <w:t xml:space="preserve"> </w:t>
      </w:r>
      <w:r>
        <w:rPr>
          <w:rFonts w:ascii="仿宋" w:hAnsi="仿宋" w:eastAsia="仿宋" w:cs="仿宋"/>
          <w:snapToGrid w:val="0"/>
          <w:color w:val="000000"/>
          <w:kern w:val="0"/>
          <w:sz w:val="43"/>
          <w:szCs w:val="43"/>
        </w:rPr>
        <w:t>月</w:t>
      </w:r>
      <w:bookmarkEnd w:id="12"/>
      <w:bookmarkEnd w:id="13"/>
      <w:bookmarkEnd w:id="14"/>
      <w:bookmarkEnd w:id="15"/>
      <w:bookmarkEnd w:id="16"/>
    </w:p>
    <w:p w14:paraId="247AB649">
      <w:pPr>
        <w:keepNext w:val="0"/>
        <w:keepLines w:val="0"/>
        <w:pageBreakBefore w:val="0"/>
        <w:kinsoku/>
        <w:wordWrap/>
        <w:overflowPunct/>
        <w:bidi w:val="0"/>
        <w:spacing w:before="0" w:beforeLines="0" w:after="0" w:afterLines="0" w:line="240" w:lineRule="auto"/>
        <w:ind w:left="0" w:leftChars="0" w:right="0" w:rightChars="0" w:firstLine="0" w:firstLineChars="0"/>
        <w:jc w:val="center"/>
        <w:outlineLvl w:val="9"/>
        <w:rPr>
          <w:rFonts w:ascii="宋体" w:hAnsi="宋体" w:eastAsia="宋体" w:cs="Times New Roman"/>
          <w:kern w:val="2"/>
          <w:sz w:val="21"/>
          <w:szCs w:val="24"/>
          <w:lang w:val="en-US" w:eastAsia="zh-CN" w:bidi="ar-SA"/>
        </w:rPr>
        <w:sectPr>
          <w:pgSz w:w="11906" w:h="16838"/>
          <w:pgMar w:top="1440" w:right="1800" w:bottom="1440" w:left="1800" w:header="851" w:footer="992" w:gutter="0"/>
          <w:pgNumType w:fmt="numberInDash" w:start="1"/>
          <w:cols w:space="425" w:num="1"/>
          <w:docGrid w:type="lines" w:linePitch="312" w:charSpace="0"/>
        </w:sectPr>
      </w:pPr>
    </w:p>
    <w:p w14:paraId="60E9A34B">
      <w:pPr>
        <w:pStyle w:val="10"/>
        <w:tabs>
          <w:tab w:val="right" w:leader="dot" w:pos="8306"/>
        </w:tabs>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目  录</w:t>
      </w:r>
    </w:p>
    <w:p w14:paraId="74129E36">
      <w:pPr>
        <w:rPr>
          <w:rFonts w:hint="eastAsia"/>
          <w:lang w:val="en-US" w:eastAsia="zh-CN"/>
        </w:rPr>
      </w:pPr>
    </w:p>
    <w:p w14:paraId="170664F9">
      <w:pPr>
        <w:pStyle w:val="10"/>
        <w:tabs>
          <w:tab w:val="right" w:leader="dot" w:pos="8306"/>
        </w:tabs>
      </w:pPr>
      <w:r>
        <w:rPr>
          <w:rFonts w:hint="eastAsia" w:ascii="华文楷体" w:hAnsi="华文楷体" w:eastAsia="华文楷体" w:cs="华文楷体"/>
          <w:sz w:val="30"/>
          <w:szCs w:val="30"/>
        </w:rPr>
        <w:fldChar w:fldCharType="begin"/>
      </w:r>
      <w:r>
        <w:rPr>
          <w:rFonts w:hint="eastAsia" w:ascii="华文楷体" w:hAnsi="华文楷体" w:eastAsia="华文楷体" w:cs="华文楷体"/>
          <w:sz w:val="30"/>
          <w:szCs w:val="30"/>
        </w:rPr>
        <w:instrText xml:space="preserve">TOC \t "公文一级,1,年报二级,2,标题 1,5,标题 2,5" \h</w:instrText>
      </w:r>
      <w:r>
        <w:rPr>
          <w:rFonts w:hint="eastAsia" w:ascii="华文楷体" w:hAnsi="华文楷体" w:eastAsia="华文楷体" w:cs="华文楷体"/>
          <w:sz w:val="30"/>
          <w:szCs w:val="30"/>
        </w:rPr>
        <w:fldChar w:fldCharType="separate"/>
      </w: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_Toc22525 </w:instrText>
      </w:r>
      <w:r>
        <w:rPr>
          <w:rFonts w:hint="eastAsia" w:ascii="华文楷体" w:hAnsi="华文楷体" w:eastAsia="华文楷体" w:cs="华文楷体"/>
          <w:szCs w:val="30"/>
        </w:rPr>
        <w:fldChar w:fldCharType="separate"/>
      </w:r>
      <w:r>
        <w:rPr>
          <w:rFonts w:hint="eastAsia"/>
          <w:lang w:val="en-US" w:eastAsia="zh-CN"/>
        </w:rPr>
        <w:t>1 基本情况</w:t>
      </w:r>
      <w:r>
        <w:tab/>
      </w:r>
      <w:r>
        <w:fldChar w:fldCharType="begin"/>
      </w:r>
      <w:r>
        <w:instrText xml:space="preserve"> PAGEREF _Toc22525 \h </w:instrText>
      </w:r>
      <w:r>
        <w:fldChar w:fldCharType="separate"/>
      </w:r>
      <w:r>
        <w:t>1</w:t>
      </w:r>
      <w:r>
        <w:fldChar w:fldCharType="end"/>
      </w:r>
      <w:r>
        <w:rPr>
          <w:rFonts w:hint="eastAsia" w:ascii="华文楷体" w:hAnsi="华文楷体" w:eastAsia="华文楷体" w:cs="华文楷体"/>
          <w:szCs w:val="30"/>
        </w:rPr>
        <w:fldChar w:fldCharType="end"/>
      </w:r>
    </w:p>
    <w:p w14:paraId="3D24E121">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_Toc24085 </w:instrText>
      </w:r>
      <w:r>
        <w:rPr>
          <w:rFonts w:hint="eastAsia" w:ascii="华文楷体" w:hAnsi="华文楷体" w:eastAsia="华文楷体" w:cs="华文楷体"/>
          <w:szCs w:val="30"/>
        </w:rPr>
        <w:fldChar w:fldCharType="separate"/>
      </w:r>
      <w:r>
        <w:rPr>
          <w:rFonts w:hint="eastAsia"/>
          <w:lang w:val="en-US" w:eastAsia="zh-CN"/>
        </w:rPr>
        <w:t>1.1 规模和结构</w:t>
      </w:r>
      <w:r>
        <w:tab/>
      </w:r>
      <w:r>
        <w:fldChar w:fldCharType="begin"/>
      </w:r>
      <w:r>
        <w:instrText xml:space="preserve"> PAGEREF _Toc24085 \h </w:instrText>
      </w:r>
      <w:r>
        <w:fldChar w:fldCharType="separate"/>
      </w:r>
      <w:r>
        <w:t>1</w:t>
      </w:r>
      <w:r>
        <w:fldChar w:fldCharType="end"/>
      </w:r>
      <w:r>
        <w:rPr>
          <w:rFonts w:hint="eastAsia" w:ascii="华文楷体" w:hAnsi="华文楷体" w:eastAsia="华文楷体" w:cs="华文楷体"/>
          <w:szCs w:val="30"/>
        </w:rPr>
        <w:fldChar w:fldCharType="end"/>
      </w:r>
    </w:p>
    <w:p w14:paraId="46839EEF">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_Toc15944 </w:instrText>
      </w:r>
      <w:r>
        <w:rPr>
          <w:rFonts w:hint="eastAsia" w:ascii="华文楷体" w:hAnsi="华文楷体" w:eastAsia="华文楷体" w:cs="华文楷体"/>
          <w:szCs w:val="30"/>
        </w:rPr>
        <w:fldChar w:fldCharType="separate"/>
      </w:r>
      <w:r>
        <w:rPr>
          <w:rFonts w:hint="eastAsia"/>
          <w:lang w:val="en-US" w:eastAsia="zh-CN"/>
        </w:rPr>
        <w:t>1.2 设施设备</w:t>
      </w:r>
      <w:r>
        <w:tab/>
      </w:r>
      <w:r>
        <w:fldChar w:fldCharType="begin"/>
      </w:r>
      <w:r>
        <w:instrText xml:space="preserve"> PAGEREF _Toc15944 \h </w:instrText>
      </w:r>
      <w:r>
        <w:fldChar w:fldCharType="separate"/>
      </w:r>
      <w:r>
        <w:t>5</w:t>
      </w:r>
      <w:r>
        <w:fldChar w:fldCharType="end"/>
      </w:r>
      <w:r>
        <w:rPr>
          <w:rFonts w:hint="eastAsia" w:ascii="华文楷体" w:hAnsi="华文楷体" w:eastAsia="华文楷体" w:cs="华文楷体"/>
          <w:szCs w:val="30"/>
        </w:rPr>
        <w:fldChar w:fldCharType="end"/>
      </w:r>
    </w:p>
    <w:p w14:paraId="653D184D">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_Toc494 </w:instrText>
      </w:r>
      <w:r>
        <w:rPr>
          <w:rFonts w:hint="eastAsia" w:ascii="华文楷体" w:hAnsi="华文楷体" w:eastAsia="华文楷体" w:cs="华文楷体"/>
          <w:szCs w:val="30"/>
        </w:rPr>
        <w:fldChar w:fldCharType="separate"/>
      </w:r>
      <w:r>
        <w:rPr>
          <w:rFonts w:hint="eastAsia"/>
          <w:lang w:val="en-US" w:eastAsia="zh-CN"/>
        </w:rPr>
        <w:t>1.3 教师队伍</w:t>
      </w:r>
      <w:r>
        <w:tab/>
      </w:r>
      <w:r>
        <w:fldChar w:fldCharType="begin"/>
      </w:r>
      <w:r>
        <w:instrText xml:space="preserve"> PAGEREF _Toc494 \h </w:instrText>
      </w:r>
      <w:r>
        <w:fldChar w:fldCharType="separate"/>
      </w:r>
      <w:r>
        <w:t>5</w:t>
      </w:r>
      <w:r>
        <w:fldChar w:fldCharType="end"/>
      </w:r>
      <w:r>
        <w:rPr>
          <w:rFonts w:hint="eastAsia" w:ascii="华文楷体" w:hAnsi="华文楷体" w:eastAsia="华文楷体" w:cs="华文楷体"/>
          <w:szCs w:val="30"/>
        </w:rPr>
        <w:fldChar w:fldCharType="end"/>
      </w:r>
    </w:p>
    <w:p w14:paraId="5C563E50">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_Toc5935 </w:instrText>
      </w:r>
      <w:r>
        <w:rPr>
          <w:rFonts w:hint="eastAsia" w:ascii="华文楷体" w:hAnsi="华文楷体" w:eastAsia="华文楷体" w:cs="华文楷体"/>
          <w:szCs w:val="30"/>
        </w:rPr>
        <w:fldChar w:fldCharType="separate"/>
      </w:r>
      <w:r>
        <w:rPr>
          <w:rFonts w:hint="eastAsia"/>
          <w:lang w:val="en-US" w:eastAsia="zh-CN"/>
        </w:rPr>
        <w:t>2 人才培养</w:t>
      </w:r>
      <w:r>
        <w:tab/>
      </w:r>
      <w:r>
        <w:fldChar w:fldCharType="begin"/>
      </w:r>
      <w:r>
        <w:instrText xml:space="preserve"> PAGEREF _Toc5935 \h </w:instrText>
      </w:r>
      <w:r>
        <w:fldChar w:fldCharType="separate"/>
      </w:r>
      <w:r>
        <w:t>6</w:t>
      </w:r>
      <w:r>
        <w:fldChar w:fldCharType="end"/>
      </w:r>
      <w:r>
        <w:rPr>
          <w:rFonts w:hint="eastAsia" w:ascii="华文楷体" w:hAnsi="华文楷体" w:eastAsia="华文楷体" w:cs="华文楷体"/>
          <w:szCs w:val="30"/>
        </w:rPr>
        <w:fldChar w:fldCharType="end"/>
      </w:r>
    </w:p>
    <w:p w14:paraId="5DFB1591">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_Toc20479 </w:instrText>
      </w:r>
      <w:r>
        <w:rPr>
          <w:rFonts w:hint="eastAsia" w:ascii="华文楷体" w:hAnsi="华文楷体" w:eastAsia="华文楷体" w:cs="华文楷体"/>
          <w:szCs w:val="30"/>
        </w:rPr>
        <w:fldChar w:fldCharType="separate"/>
      </w:r>
      <w:r>
        <w:rPr>
          <w:rFonts w:hint="eastAsia"/>
          <w:lang w:val="en-US" w:eastAsia="zh-CN"/>
        </w:rPr>
        <w:t>2.1 专业设置</w:t>
      </w:r>
      <w:r>
        <w:tab/>
      </w:r>
      <w:r>
        <w:fldChar w:fldCharType="begin"/>
      </w:r>
      <w:r>
        <w:instrText xml:space="preserve"> PAGEREF _Toc20479 \h </w:instrText>
      </w:r>
      <w:r>
        <w:fldChar w:fldCharType="separate"/>
      </w:r>
      <w:r>
        <w:t>6</w:t>
      </w:r>
      <w:r>
        <w:fldChar w:fldCharType="end"/>
      </w:r>
      <w:r>
        <w:rPr>
          <w:rFonts w:hint="eastAsia" w:ascii="华文楷体" w:hAnsi="华文楷体" w:eastAsia="华文楷体" w:cs="华文楷体"/>
          <w:szCs w:val="30"/>
        </w:rPr>
        <w:fldChar w:fldCharType="end"/>
      </w:r>
    </w:p>
    <w:p w14:paraId="028BF299">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_Toc12361 </w:instrText>
      </w:r>
      <w:r>
        <w:rPr>
          <w:rFonts w:hint="eastAsia" w:ascii="华文楷体" w:hAnsi="华文楷体" w:eastAsia="华文楷体" w:cs="华文楷体"/>
          <w:szCs w:val="30"/>
        </w:rPr>
        <w:fldChar w:fldCharType="separate"/>
      </w:r>
      <w:r>
        <w:rPr>
          <w:rFonts w:hint="default"/>
          <w:lang w:val="en-US" w:eastAsia="zh-CN"/>
        </w:rPr>
        <w:t>2.2</w:t>
      </w:r>
      <w:r>
        <w:rPr>
          <w:rFonts w:hint="eastAsia"/>
          <w:lang w:val="en-US" w:eastAsia="zh-CN"/>
        </w:rPr>
        <w:t xml:space="preserve"> </w:t>
      </w:r>
      <w:r>
        <w:rPr>
          <w:rFonts w:hint="default"/>
          <w:lang w:val="en-US" w:eastAsia="zh-CN"/>
        </w:rPr>
        <w:t>立德树人</w:t>
      </w:r>
      <w:r>
        <w:tab/>
      </w:r>
      <w:r>
        <w:fldChar w:fldCharType="begin"/>
      </w:r>
      <w:r>
        <w:instrText xml:space="preserve"> PAGEREF _Toc12361 \h </w:instrText>
      </w:r>
      <w:r>
        <w:fldChar w:fldCharType="separate"/>
      </w:r>
      <w:r>
        <w:t>8</w:t>
      </w:r>
      <w:r>
        <w:fldChar w:fldCharType="end"/>
      </w:r>
      <w:r>
        <w:rPr>
          <w:rFonts w:hint="eastAsia" w:ascii="华文楷体" w:hAnsi="华文楷体" w:eastAsia="华文楷体" w:cs="华文楷体"/>
          <w:szCs w:val="30"/>
        </w:rPr>
        <w:fldChar w:fldCharType="end"/>
      </w:r>
    </w:p>
    <w:p w14:paraId="08FDE9BF">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_Toc20976 </w:instrText>
      </w:r>
      <w:r>
        <w:rPr>
          <w:rFonts w:hint="eastAsia" w:ascii="华文楷体" w:hAnsi="华文楷体" w:eastAsia="华文楷体" w:cs="华文楷体"/>
          <w:szCs w:val="30"/>
        </w:rPr>
        <w:fldChar w:fldCharType="separate"/>
      </w:r>
      <w:r>
        <w:rPr>
          <w:rFonts w:hint="default"/>
          <w:lang w:val="en-US" w:eastAsia="zh-CN"/>
        </w:rPr>
        <w:t>2.3</w:t>
      </w:r>
      <w:r>
        <w:rPr>
          <w:rFonts w:hint="eastAsia"/>
          <w:lang w:val="en-US" w:eastAsia="zh-CN"/>
        </w:rPr>
        <w:t xml:space="preserve"> </w:t>
      </w:r>
      <w:r>
        <w:rPr>
          <w:rFonts w:hint="default"/>
          <w:lang w:val="en-US" w:eastAsia="zh-CN"/>
        </w:rPr>
        <w:t>在校体验</w:t>
      </w:r>
      <w:r>
        <w:tab/>
      </w:r>
      <w:r>
        <w:fldChar w:fldCharType="begin"/>
      </w:r>
      <w:r>
        <w:instrText xml:space="preserve"> PAGEREF _Toc20976 \h </w:instrText>
      </w:r>
      <w:r>
        <w:fldChar w:fldCharType="separate"/>
      </w:r>
      <w:r>
        <w:t>10</w:t>
      </w:r>
      <w:r>
        <w:fldChar w:fldCharType="end"/>
      </w:r>
      <w:r>
        <w:rPr>
          <w:rFonts w:hint="eastAsia" w:ascii="华文楷体" w:hAnsi="华文楷体" w:eastAsia="华文楷体" w:cs="华文楷体"/>
          <w:szCs w:val="30"/>
        </w:rPr>
        <w:fldChar w:fldCharType="end"/>
      </w:r>
    </w:p>
    <w:p w14:paraId="56B4A928">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_Toc15707 </w:instrText>
      </w:r>
      <w:r>
        <w:rPr>
          <w:rFonts w:hint="eastAsia" w:ascii="华文楷体" w:hAnsi="华文楷体" w:eastAsia="华文楷体" w:cs="华文楷体"/>
          <w:szCs w:val="30"/>
        </w:rPr>
        <w:fldChar w:fldCharType="separate"/>
      </w:r>
      <w:r>
        <w:rPr>
          <w:rFonts w:hint="default"/>
          <w:lang w:val="en-US" w:eastAsia="zh-CN"/>
        </w:rPr>
        <w:t>2.4</w:t>
      </w:r>
      <w:r>
        <w:rPr>
          <w:rFonts w:hint="eastAsia"/>
          <w:lang w:val="en-US" w:eastAsia="zh-CN"/>
        </w:rPr>
        <w:t xml:space="preserve"> </w:t>
      </w:r>
      <w:r>
        <w:rPr>
          <w:rFonts w:hint="default"/>
          <w:lang w:val="en-US" w:eastAsia="zh-CN"/>
        </w:rPr>
        <w:t>就业质量</w:t>
      </w:r>
      <w:r>
        <w:tab/>
      </w:r>
      <w:r>
        <w:fldChar w:fldCharType="begin"/>
      </w:r>
      <w:r>
        <w:instrText xml:space="preserve"> PAGEREF _Toc15707 \h </w:instrText>
      </w:r>
      <w:r>
        <w:fldChar w:fldCharType="separate"/>
      </w:r>
      <w:r>
        <w:t>13</w:t>
      </w:r>
      <w:r>
        <w:fldChar w:fldCharType="end"/>
      </w:r>
      <w:r>
        <w:rPr>
          <w:rFonts w:hint="eastAsia" w:ascii="华文楷体" w:hAnsi="华文楷体" w:eastAsia="华文楷体" w:cs="华文楷体"/>
          <w:szCs w:val="30"/>
        </w:rPr>
        <w:fldChar w:fldCharType="end"/>
      </w:r>
    </w:p>
    <w:p w14:paraId="46CE6BA2">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_Toc553 </w:instrText>
      </w:r>
      <w:r>
        <w:rPr>
          <w:rFonts w:hint="eastAsia" w:ascii="华文楷体" w:hAnsi="华文楷体" w:eastAsia="华文楷体" w:cs="华文楷体"/>
          <w:szCs w:val="30"/>
        </w:rPr>
        <w:fldChar w:fldCharType="separate"/>
      </w:r>
      <w:r>
        <w:rPr>
          <w:rFonts w:hint="default"/>
          <w:lang w:val="en-US" w:eastAsia="zh-CN"/>
        </w:rPr>
        <w:t>2.5</w:t>
      </w:r>
      <w:r>
        <w:rPr>
          <w:rFonts w:hint="eastAsia"/>
          <w:lang w:val="en-US" w:eastAsia="zh-CN"/>
        </w:rPr>
        <w:t xml:space="preserve"> </w:t>
      </w:r>
      <w:r>
        <w:rPr>
          <w:rFonts w:hint="default"/>
          <w:lang w:val="en-US" w:eastAsia="zh-CN"/>
        </w:rPr>
        <w:t>升学情况</w:t>
      </w:r>
      <w:r>
        <w:tab/>
      </w:r>
      <w:r>
        <w:fldChar w:fldCharType="begin"/>
      </w:r>
      <w:r>
        <w:instrText xml:space="preserve"> PAGEREF _Toc553 \h </w:instrText>
      </w:r>
      <w:r>
        <w:fldChar w:fldCharType="separate"/>
      </w:r>
      <w:r>
        <w:t>15</w:t>
      </w:r>
      <w:r>
        <w:fldChar w:fldCharType="end"/>
      </w:r>
      <w:r>
        <w:rPr>
          <w:rFonts w:hint="eastAsia" w:ascii="华文楷体" w:hAnsi="华文楷体" w:eastAsia="华文楷体" w:cs="华文楷体"/>
          <w:szCs w:val="30"/>
        </w:rPr>
        <w:fldChar w:fldCharType="end"/>
      </w:r>
    </w:p>
    <w:p w14:paraId="2823DB6C">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_Toc30208 </w:instrText>
      </w:r>
      <w:r>
        <w:rPr>
          <w:rFonts w:hint="eastAsia" w:ascii="华文楷体" w:hAnsi="华文楷体" w:eastAsia="华文楷体" w:cs="华文楷体"/>
          <w:szCs w:val="30"/>
        </w:rPr>
        <w:fldChar w:fldCharType="separate"/>
      </w:r>
      <w:r>
        <w:rPr>
          <w:rFonts w:hint="default"/>
          <w:lang w:val="en-US" w:eastAsia="zh-CN"/>
        </w:rPr>
        <w:t>2.</w:t>
      </w:r>
      <w:r>
        <w:rPr>
          <w:rFonts w:hint="eastAsia"/>
          <w:lang w:val="en-US" w:eastAsia="zh-CN"/>
        </w:rPr>
        <w:t xml:space="preserve">6 </w:t>
      </w:r>
      <w:r>
        <w:rPr>
          <w:rFonts w:hint="default"/>
          <w:lang w:val="en-US" w:eastAsia="zh-CN"/>
        </w:rPr>
        <w:t>技能大赛</w:t>
      </w:r>
      <w:r>
        <w:tab/>
      </w:r>
      <w:r>
        <w:fldChar w:fldCharType="begin"/>
      </w:r>
      <w:r>
        <w:instrText xml:space="preserve"> PAGEREF _Toc30208 \h </w:instrText>
      </w:r>
      <w:r>
        <w:fldChar w:fldCharType="separate"/>
      </w:r>
      <w:r>
        <w:t>16</w:t>
      </w:r>
      <w:r>
        <w:fldChar w:fldCharType="end"/>
      </w:r>
      <w:r>
        <w:rPr>
          <w:rFonts w:hint="eastAsia" w:ascii="华文楷体" w:hAnsi="华文楷体" w:eastAsia="华文楷体" w:cs="华文楷体"/>
          <w:szCs w:val="30"/>
        </w:rPr>
        <w:fldChar w:fldCharType="end"/>
      </w:r>
    </w:p>
    <w:p w14:paraId="18965E19">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_Toc3427 </w:instrText>
      </w:r>
      <w:r>
        <w:rPr>
          <w:rFonts w:hint="eastAsia" w:ascii="华文楷体" w:hAnsi="华文楷体" w:eastAsia="华文楷体" w:cs="华文楷体"/>
          <w:szCs w:val="30"/>
        </w:rPr>
        <w:fldChar w:fldCharType="separate"/>
      </w:r>
      <w:r>
        <w:rPr>
          <w:rFonts w:hint="eastAsia"/>
          <w:lang w:val="en-US" w:eastAsia="zh-CN"/>
        </w:rPr>
        <w:t>3 服务贡献</w:t>
      </w:r>
      <w:r>
        <w:tab/>
      </w:r>
      <w:r>
        <w:fldChar w:fldCharType="begin"/>
      </w:r>
      <w:r>
        <w:instrText xml:space="preserve"> PAGEREF _Toc3427 \h </w:instrText>
      </w:r>
      <w:r>
        <w:fldChar w:fldCharType="separate"/>
      </w:r>
      <w:r>
        <w:t>19</w:t>
      </w:r>
      <w:r>
        <w:fldChar w:fldCharType="end"/>
      </w:r>
      <w:r>
        <w:rPr>
          <w:rFonts w:hint="eastAsia" w:ascii="华文楷体" w:hAnsi="华文楷体" w:eastAsia="华文楷体" w:cs="华文楷体"/>
          <w:szCs w:val="30"/>
        </w:rPr>
        <w:fldChar w:fldCharType="end"/>
      </w:r>
    </w:p>
    <w:p w14:paraId="103DFC43">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_Toc372 </w:instrText>
      </w:r>
      <w:r>
        <w:rPr>
          <w:rFonts w:hint="eastAsia" w:ascii="华文楷体" w:hAnsi="华文楷体" w:eastAsia="华文楷体" w:cs="华文楷体"/>
          <w:szCs w:val="30"/>
        </w:rPr>
        <w:fldChar w:fldCharType="separate"/>
      </w:r>
      <w:r>
        <w:rPr>
          <w:rFonts w:hint="eastAsia"/>
          <w:lang w:val="en-US" w:eastAsia="zh-CN"/>
        </w:rPr>
        <w:t>3.1 服务经济</w:t>
      </w:r>
      <w:r>
        <w:tab/>
      </w:r>
      <w:r>
        <w:fldChar w:fldCharType="begin"/>
      </w:r>
      <w:r>
        <w:instrText xml:space="preserve"> PAGEREF _Toc372 \h </w:instrText>
      </w:r>
      <w:r>
        <w:fldChar w:fldCharType="separate"/>
      </w:r>
      <w:r>
        <w:t>19</w:t>
      </w:r>
      <w:r>
        <w:fldChar w:fldCharType="end"/>
      </w:r>
      <w:r>
        <w:rPr>
          <w:rFonts w:hint="eastAsia" w:ascii="华文楷体" w:hAnsi="华文楷体" w:eastAsia="华文楷体" w:cs="华文楷体"/>
          <w:szCs w:val="30"/>
        </w:rPr>
        <w:fldChar w:fldCharType="end"/>
      </w:r>
    </w:p>
    <w:p w14:paraId="2F18B092">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_Toc32200 </w:instrText>
      </w:r>
      <w:r>
        <w:rPr>
          <w:rFonts w:hint="eastAsia" w:ascii="华文楷体" w:hAnsi="华文楷体" w:eastAsia="华文楷体" w:cs="华文楷体"/>
          <w:szCs w:val="30"/>
        </w:rPr>
        <w:fldChar w:fldCharType="separate"/>
      </w:r>
      <w:r>
        <w:rPr>
          <w:rFonts w:hint="eastAsia"/>
          <w:lang w:val="en-US" w:eastAsia="zh-CN"/>
        </w:rPr>
        <w:t>3.2 服务社会</w:t>
      </w:r>
      <w:r>
        <w:tab/>
      </w:r>
      <w:r>
        <w:fldChar w:fldCharType="begin"/>
      </w:r>
      <w:r>
        <w:instrText xml:space="preserve"> PAGEREF _Toc32200 \h </w:instrText>
      </w:r>
      <w:r>
        <w:fldChar w:fldCharType="separate"/>
      </w:r>
      <w:r>
        <w:t>20</w:t>
      </w:r>
      <w:r>
        <w:fldChar w:fldCharType="end"/>
      </w:r>
      <w:r>
        <w:rPr>
          <w:rFonts w:hint="eastAsia" w:ascii="华文楷体" w:hAnsi="华文楷体" w:eastAsia="华文楷体" w:cs="华文楷体"/>
          <w:szCs w:val="30"/>
        </w:rPr>
        <w:fldChar w:fldCharType="end"/>
      </w:r>
    </w:p>
    <w:p w14:paraId="1D09F937">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_Toc10661 </w:instrText>
      </w:r>
      <w:r>
        <w:rPr>
          <w:rFonts w:hint="eastAsia" w:ascii="华文楷体" w:hAnsi="华文楷体" w:eastAsia="华文楷体" w:cs="华文楷体"/>
          <w:szCs w:val="30"/>
        </w:rPr>
        <w:fldChar w:fldCharType="separate"/>
      </w:r>
      <w:r>
        <w:rPr>
          <w:rFonts w:hint="eastAsia"/>
          <w:lang w:val="en-US" w:eastAsia="zh-CN"/>
        </w:rPr>
        <w:t>4 文化传承</w:t>
      </w:r>
      <w:r>
        <w:tab/>
      </w:r>
      <w:r>
        <w:fldChar w:fldCharType="begin"/>
      </w:r>
      <w:r>
        <w:instrText xml:space="preserve"> PAGEREF _Toc10661 \h </w:instrText>
      </w:r>
      <w:r>
        <w:fldChar w:fldCharType="separate"/>
      </w:r>
      <w:r>
        <w:t>23</w:t>
      </w:r>
      <w:r>
        <w:fldChar w:fldCharType="end"/>
      </w:r>
      <w:r>
        <w:rPr>
          <w:rFonts w:hint="eastAsia" w:ascii="华文楷体" w:hAnsi="华文楷体" w:eastAsia="华文楷体" w:cs="华文楷体"/>
          <w:szCs w:val="30"/>
        </w:rPr>
        <w:fldChar w:fldCharType="end"/>
      </w:r>
    </w:p>
    <w:p w14:paraId="26A37CB0">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_Toc1075 </w:instrText>
      </w:r>
      <w:r>
        <w:rPr>
          <w:rFonts w:hint="eastAsia" w:ascii="华文楷体" w:hAnsi="华文楷体" w:eastAsia="华文楷体" w:cs="华文楷体"/>
          <w:szCs w:val="30"/>
        </w:rPr>
        <w:fldChar w:fldCharType="separate"/>
      </w:r>
      <w:r>
        <w:rPr>
          <w:rFonts w:hint="eastAsia"/>
          <w:lang w:val="en-US" w:eastAsia="zh-CN"/>
        </w:rPr>
        <w:t>4.1 工匠精神</w:t>
      </w:r>
      <w:r>
        <w:tab/>
      </w:r>
      <w:r>
        <w:fldChar w:fldCharType="begin"/>
      </w:r>
      <w:r>
        <w:instrText xml:space="preserve"> PAGEREF _Toc1075 \h </w:instrText>
      </w:r>
      <w:r>
        <w:fldChar w:fldCharType="separate"/>
      </w:r>
      <w:r>
        <w:t>23</w:t>
      </w:r>
      <w:r>
        <w:fldChar w:fldCharType="end"/>
      </w:r>
      <w:r>
        <w:rPr>
          <w:rFonts w:hint="eastAsia" w:ascii="华文楷体" w:hAnsi="华文楷体" w:eastAsia="华文楷体" w:cs="华文楷体"/>
          <w:szCs w:val="30"/>
        </w:rPr>
        <w:fldChar w:fldCharType="end"/>
      </w:r>
    </w:p>
    <w:p w14:paraId="225CFC4E">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_Toc22533 </w:instrText>
      </w:r>
      <w:r>
        <w:rPr>
          <w:rFonts w:hint="eastAsia" w:ascii="华文楷体" w:hAnsi="华文楷体" w:eastAsia="华文楷体" w:cs="华文楷体"/>
          <w:szCs w:val="30"/>
        </w:rPr>
        <w:fldChar w:fldCharType="separate"/>
      </w:r>
      <w:r>
        <w:rPr>
          <w:rFonts w:hint="eastAsia"/>
          <w:lang w:val="en-US" w:eastAsia="zh-CN"/>
        </w:rPr>
        <w:t>4.2 红色文化</w:t>
      </w:r>
      <w:r>
        <w:tab/>
      </w:r>
      <w:r>
        <w:fldChar w:fldCharType="begin"/>
      </w:r>
      <w:r>
        <w:instrText xml:space="preserve"> PAGEREF _Toc22533 \h </w:instrText>
      </w:r>
      <w:r>
        <w:fldChar w:fldCharType="separate"/>
      </w:r>
      <w:r>
        <w:t>24</w:t>
      </w:r>
      <w:r>
        <w:fldChar w:fldCharType="end"/>
      </w:r>
      <w:r>
        <w:rPr>
          <w:rFonts w:hint="eastAsia" w:ascii="华文楷体" w:hAnsi="华文楷体" w:eastAsia="华文楷体" w:cs="华文楷体"/>
          <w:szCs w:val="30"/>
        </w:rPr>
        <w:fldChar w:fldCharType="end"/>
      </w:r>
    </w:p>
    <w:p w14:paraId="257F0C6D">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_Toc30798 </w:instrText>
      </w:r>
      <w:r>
        <w:rPr>
          <w:rFonts w:hint="eastAsia" w:ascii="华文楷体" w:hAnsi="华文楷体" w:eastAsia="华文楷体" w:cs="华文楷体"/>
          <w:szCs w:val="30"/>
        </w:rPr>
        <w:fldChar w:fldCharType="separate"/>
      </w:r>
      <w:r>
        <w:rPr>
          <w:rFonts w:hint="eastAsia"/>
          <w:lang w:val="en-US" w:eastAsia="zh-CN"/>
        </w:rPr>
        <w:t>4.3 社团建设</w:t>
      </w:r>
      <w:r>
        <w:tab/>
      </w:r>
      <w:r>
        <w:fldChar w:fldCharType="begin"/>
      </w:r>
      <w:r>
        <w:instrText xml:space="preserve"> PAGEREF _Toc30798 \h </w:instrText>
      </w:r>
      <w:r>
        <w:fldChar w:fldCharType="separate"/>
      </w:r>
      <w:r>
        <w:t>26</w:t>
      </w:r>
      <w:r>
        <w:fldChar w:fldCharType="end"/>
      </w:r>
      <w:r>
        <w:rPr>
          <w:rFonts w:hint="eastAsia" w:ascii="华文楷体" w:hAnsi="华文楷体" w:eastAsia="华文楷体" w:cs="华文楷体"/>
          <w:szCs w:val="30"/>
        </w:rPr>
        <w:fldChar w:fldCharType="end"/>
      </w:r>
    </w:p>
    <w:p w14:paraId="04CC3E44">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_Toc12717 </w:instrText>
      </w:r>
      <w:r>
        <w:rPr>
          <w:rFonts w:hint="eastAsia" w:ascii="华文楷体" w:hAnsi="华文楷体" w:eastAsia="华文楷体" w:cs="华文楷体"/>
          <w:szCs w:val="30"/>
        </w:rPr>
        <w:fldChar w:fldCharType="separate"/>
      </w:r>
      <w:r>
        <w:rPr>
          <w:rFonts w:hint="eastAsia"/>
          <w:lang w:val="en-US" w:eastAsia="zh-CN"/>
        </w:rPr>
        <w:t>4.4 传统文化</w:t>
      </w:r>
      <w:r>
        <w:tab/>
      </w:r>
      <w:r>
        <w:fldChar w:fldCharType="begin"/>
      </w:r>
      <w:r>
        <w:instrText xml:space="preserve"> PAGEREF _Toc12717 \h </w:instrText>
      </w:r>
      <w:r>
        <w:fldChar w:fldCharType="separate"/>
      </w:r>
      <w:r>
        <w:t>27</w:t>
      </w:r>
      <w:r>
        <w:fldChar w:fldCharType="end"/>
      </w:r>
      <w:r>
        <w:rPr>
          <w:rFonts w:hint="eastAsia" w:ascii="华文楷体" w:hAnsi="华文楷体" w:eastAsia="华文楷体" w:cs="华文楷体"/>
          <w:szCs w:val="30"/>
        </w:rPr>
        <w:fldChar w:fldCharType="end"/>
      </w:r>
    </w:p>
    <w:p w14:paraId="7B062CEC">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_Toc11921 </w:instrText>
      </w:r>
      <w:r>
        <w:rPr>
          <w:rFonts w:hint="eastAsia" w:ascii="华文楷体" w:hAnsi="华文楷体" w:eastAsia="华文楷体" w:cs="华文楷体"/>
          <w:szCs w:val="30"/>
        </w:rPr>
        <w:fldChar w:fldCharType="separate"/>
      </w:r>
      <w:r>
        <w:rPr>
          <w:rFonts w:hint="eastAsia"/>
          <w:lang w:val="en-US" w:eastAsia="zh-CN"/>
        </w:rPr>
        <w:t>5 产教融合</w:t>
      </w:r>
      <w:r>
        <w:tab/>
      </w:r>
      <w:r>
        <w:fldChar w:fldCharType="begin"/>
      </w:r>
      <w:r>
        <w:instrText xml:space="preserve"> PAGEREF _Toc11921 \h </w:instrText>
      </w:r>
      <w:r>
        <w:fldChar w:fldCharType="separate"/>
      </w:r>
      <w:r>
        <w:t>30</w:t>
      </w:r>
      <w:r>
        <w:fldChar w:fldCharType="end"/>
      </w:r>
      <w:r>
        <w:rPr>
          <w:rFonts w:hint="eastAsia" w:ascii="华文楷体" w:hAnsi="华文楷体" w:eastAsia="华文楷体" w:cs="华文楷体"/>
          <w:szCs w:val="30"/>
        </w:rPr>
        <w:fldChar w:fldCharType="end"/>
      </w:r>
    </w:p>
    <w:p w14:paraId="1A14B749">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_Toc5583 </w:instrText>
      </w:r>
      <w:r>
        <w:rPr>
          <w:rFonts w:hint="eastAsia" w:ascii="华文楷体" w:hAnsi="华文楷体" w:eastAsia="华文楷体" w:cs="华文楷体"/>
          <w:szCs w:val="30"/>
        </w:rPr>
        <w:fldChar w:fldCharType="separate"/>
      </w:r>
      <w:r>
        <w:rPr>
          <w:rFonts w:hint="eastAsia"/>
          <w:lang w:val="en-US" w:eastAsia="zh-CN"/>
        </w:rPr>
        <w:t>5.1 政策引导</w:t>
      </w:r>
      <w:r>
        <w:tab/>
      </w:r>
      <w:r>
        <w:fldChar w:fldCharType="begin"/>
      </w:r>
      <w:r>
        <w:instrText xml:space="preserve"> PAGEREF _Toc5583 \h </w:instrText>
      </w:r>
      <w:r>
        <w:fldChar w:fldCharType="separate"/>
      </w:r>
      <w:r>
        <w:t>30</w:t>
      </w:r>
      <w:r>
        <w:fldChar w:fldCharType="end"/>
      </w:r>
      <w:r>
        <w:rPr>
          <w:rFonts w:hint="eastAsia" w:ascii="华文楷体" w:hAnsi="华文楷体" w:eastAsia="华文楷体" w:cs="华文楷体"/>
          <w:szCs w:val="30"/>
        </w:rPr>
        <w:fldChar w:fldCharType="end"/>
      </w:r>
    </w:p>
    <w:p w14:paraId="2AF6A6B0">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_Toc31619 </w:instrText>
      </w:r>
      <w:r>
        <w:rPr>
          <w:rFonts w:hint="eastAsia" w:ascii="华文楷体" w:hAnsi="华文楷体" w:eastAsia="华文楷体" w:cs="华文楷体"/>
          <w:szCs w:val="30"/>
        </w:rPr>
        <w:fldChar w:fldCharType="separate"/>
      </w:r>
      <w:r>
        <w:rPr>
          <w:rFonts w:hint="eastAsia"/>
          <w:lang w:val="en-US" w:eastAsia="zh-CN"/>
        </w:rPr>
        <w:t>5.2 专项对接</w:t>
      </w:r>
      <w:r>
        <w:tab/>
      </w:r>
      <w:r>
        <w:fldChar w:fldCharType="begin"/>
      </w:r>
      <w:r>
        <w:instrText xml:space="preserve"> PAGEREF _Toc31619 \h </w:instrText>
      </w:r>
      <w:r>
        <w:fldChar w:fldCharType="separate"/>
      </w:r>
      <w:r>
        <w:t>31</w:t>
      </w:r>
      <w:r>
        <w:fldChar w:fldCharType="end"/>
      </w:r>
      <w:r>
        <w:rPr>
          <w:rFonts w:hint="eastAsia" w:ascii="华文楷体" w:hAnsi="华文楷体" w:eastAsia="华文楷体" w:cs="华文楷体"/>
          <w:szCs w:val="30"/>
        </w:rPr>
        <w:fldChar w:fldCharType="end"/>
      </w:r>
    </w:p>
    <w:p w14:paraId="58A6F568">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_Toc6288 </w:instrText>
      </w:r>
      <w:r>
        <w:rPr>
          <w:rFonts w:hint="eastAsia" w:ascii="华文楷体" w:hAnsi="华文楷体" w:eastAsia="华文楷体" w:cs="华文楷体"/>
          <w:szCs w:val="30"/>
        </w:rPr>
        <w:fldChar w:fldCharType="separate"/>
      </w:r>
      <w:r>
        <w:rPr>
          <w:rFonts w:hint="eastAsia"/>
          <w:lang w:val="en-US" w:eastAsia="zh-CN"/>
        </w:rPr>
        <w:t>5.3 1+X试点</w:t>
      </w:r>
      <w:r>
        <w:tab/>
      </w:r>
      <w:r>
        <w:fldChar w:fldCharType="begin"/>
      </w:r>
      <w:r>
        <w:instrText xml:space="preserve"> PAGEREF _Toc6288 \h </w:instrText>
      </w:r>
      <w:r>
        <w:fldChar w:fldCharType="separate"/>
      </w:r>
      <w:r>
        <w:t>33</w:t>
      </w:r>
      <w:r>
        <w:fldChar w:fldCharType="end"/>
      </w:r>
      <w:r>
        <w:rPr>
          <w:rFonts w:hint="eastAsia" w:ascii="华文楷体" w:hAnsi="华文楷体" w:eastAsia="华文楷体" w:cs="华文楷体"/>
          <w:szCs w:val="30"/>
        </w:rPr>
        <w:fldChar w:fldCharType="end"/>
      </w:r>
    </w:p>
    <w:p w14:paraId="5659CEF5">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_Toc13729 </w:instrText>
      </w:r>
      <w:r>
        <w:rPr>
          <w:rFonts w:hint="eastAsia" w:ascii="华文楷体" w:hAnsi="华文楷体" w:eastAsia="华文楷体" w:cs="华文楷体"/>
          <w:szCs w:val="30"/>
        </w:rPr>
        <w:fldChar w:fldCharType="separate"/>
      </w:r>
      <w:r>
        <w:rPr>
          <w:rFonts w:hint="eastAsia"/>
          <w:lang w:val="en-US" w:eastAsia="zh-CN"/>
        </w:rPr>
        <w:t>5.4 实习实训</w:t>
      </w:r>
      <w:r>
        <w:tab/>
      </w:r>
      <w:r>
        <w:fldChar w:fldCharType="begin"/>
      </w:r>
      <w:r>
        <w:instrText xml:space="preserve"> PAGEREF _Toc13729 \h </w:instrText>
      </w:r>
      <w:r>
        <w:fldChar w:fldCharType="separate"/>
      </w:r>
      <w:r>
        <w:t>35</w:t>
      </w:r>
      <w:r>
        <w:fldChar w:fldCharType="end"/>
      </w:r>
      <w:r>
        <w:rPr>
          <w:rFonts w:hint="eastAsia" w:ascii="华文楷体" w:hAnsi="华文楷体" w:eastAsia="华文楷体" w:cs="华文楷体"/>
          <w:szCs w:val="30"/>
        </w:rPr>
        <w:fldChar w:fldCharType="end"/>
      </w:r>
    </w:p>
    <w:p w14:paraId="125C150B">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_Toc9651 </w:instrText>
      </w:r>
      <w:r>
        <w:rPr>
          <w:rFonts w:hint="eastAsia" w:ascii="华文楷体" w:hAnsi="华文楷体" w:eastAsia="华文楷体" w:cs="华文楷体"/>
          <w:szCs w:val="30"/>
        </w:rPr>
        <w:fldChar w:fldCharType="separate"/>
      </w:r>
      <w:r>
        <w:rPr>
          <w:rFonts w:hint="eastAsia"/>
          <w:lang w:val="en-US" w:eastAsia="zh-CN"/>
        </w:rPr>
        <w:t>6 发展保障</w:t>
      </w:r>
      <w:r>
        <w:tab/>
      </w:r>
      <w:r>
        <w:fldChar w:fldCharType="begin"/>
      </w:r>
      <w:r>
        <w:instrText xml:space="preserve"> PAGEREF _Toc9651 \h </w:instrText>
      </w:r>
      <w:r>
        <w:fldChar w:fldCharType="separate"/>
      </w:r>
      <w:r>
        <w:t>38</w:t>
      </w:r>
      <w:r>
        <w:fldChar w:fldCharType="end"/>
      </w:r>
      <w:r>
        <w:rPr>
          <w:rFonts w:hint="eastAsia" w:ascii="华文楷体" w:hAnsi="华文楷体" w:eastAsia="华文楷体" w:cs="华文楷体"/>
          <w:szCs w:val="30"/>
        </w:rPr>
        <w:fldChar w:fldCharType="end"/>
      </w:r>
    </w:p>
    <w:p w14:paraId="3F3D1555">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_Toc21463 </w:instrText>
      </w:r>
      <w:r>
        <w:rPr>
          <w:rFonts w:hint="eastAsia" w:ascii="华文楷体" w:hAnsi="华文楷体" w:eastAsia="华文楷体" w:cs="华文楷体"/>
          <w:szCs w:val="30"/>
        </w:rPr>
        <w:fldChar w:fldCharType="separate"/>
      </w:r>
      <w:r>
        <w:rPr>
          <w:rFonts w:hint="eastAsia"/>
          <w:lang w:val="en-US" w:eastAsia="zh-CN"/>
        </w:rPr>
        <w:t>6</w:t>
      </w:r>
      <w:r>
        <w:rPr>
          <w:rFonts w:hint="default"/>
          <w:lang w:val="en-US" w:eastAsia="zh-CN"/>
        </w:rPr>
        <w:t>.1</w:t>
      </w:r>
      <w:r>
        <w:rPr>
          <w:rFonts w:hint="eastAsia"/>
          <w:lang w:val="en-US" w:eastAsia="zh-CN"/>
        </w:rPr>
        <w:t xml:space="preserve"> </w:t>
      </w:r>
      <w:r>
        <w:rPr>
          <w:rFonts w:hint="default"/>
          <w:lang w:val="en-US" w:eastAsia="zh-CN"/>
        </w:rPr>
        <w:t>党建引领</w:t>
      </w:r>
      <w:r>
        <w:tab/>
      </w:r>
      <w:r>
        <w:fldChar w:fldCharType="begin"/>
      </w:r>
      <w:r>
        <w:instrText xml:space="preserve"> PAGEREF _Toc21463 \h </w:instrText>
      </w:r>
      <w:r>
        <w:fldChar w:fldCharType="separate"/>
      </w:r>
      <w:r>
        <w:t>38</w:t>
      </w:r>
      <w:r>
        <w:fldChar w:fldCharType="end"/>
      </w:r>
      <w:r>
        <w:rPr>
          <w:rFonts w:hint="eastAsia" w:ascii="华文楷体" w:hAnsi="华文楷体" w:eastAsia="华文楷体" w:cs="华文楷体"/>
          <w:szCs w:val="30"/>
        </w:rPr>
        <w:fldChar w:fldCharType="end"/>
      </w:r>
    </w:p>
    <w:p w14:paraId="77B4F918">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_Toc4558 </w:instrText>
      </w:r>
      <w:r>
        <w:rPr>
          <w:rFonts w:hint="eastAsia" w:ascii="华文楷体" w:hAnsi="华文楷体" w:eastAsia="华文楷体" w:cs="华文楷体"/>
          <w:szCs w:val="30"/>
        </w:rPr>
        <w:fldChar w:fldCharType="separate"/>
      </w:r>
      <w:r>
        <w:rPr>
          <w:rFonts w:hint="eastAsia"/>
          <w:lang w:val="en-US" w:eastAsia="zh-CN"/>
        </w:rPr>
        <w:t>6.2 经费投入</w:t>
      </w:r>
      <w:r>
        <w:tab/>
      </w:r>
      <w:r>
        <w:fldChar w:fldCharType="begin"/>
      </w:r>
      <w:r>
        <w:instrText xml:space="preserve"> PAGEREF _Toc4558 \h </w:instrText>
      </w:r>
      <w:r>
        <w:fldChar w:fldCharType="separate"/>
      </w:r>
      <w:r>
        <w:t>40</w:t>
      </w:r>
      <w:r>
        <w:fldChar w:fldCharType="end"/>
      </w:r>
      <w:r>
        <w:rPr>
          <w:rFonts w:hint="eastAsia" w:ascii="华文楷体" w:hAnsi="华文楷体" w:eastAsia="华文楷体" w:cs="华文楷体"/>
          <w:szCs w:val="30"/>
        </w:rPr>
        <w:fldChar w:fldCharType="end"/>
      </w:r>
    </w:p>
    <w:p w14:paraId="08B925C9">
      <w:pPr>
        <w:pStyle w:val="10"/>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_Toc29811 </w:instrText>
      </w:r>
      <w:r>
        <w:rPr>
          <w:rFonts w:hint="eastAsia" w:ascii="华文楷体" w:hAnsi="华文楷体" w:eastAsia="华文楷体" w:cs="华文楷体"/>
          <w:szCs w:val="30"/>
        </w:rPr>
        <w:fldChar w:fldCharType="separate"/>
      </w:r>
      <w:r>
        <w:rPr>
          <w:rFonts w:hint="eastAsia"/>
          <w:lang w:val="en-US" w:eastAsia="zh-CN"/>
        </w:rPr>
        <w:t>7 面临挑战</w:t>
      </w:r>
      <w:r>
        <w:tab/>
      </w:r>
      <w:r>
        <w:fldChar w:fldCharType="begin"/>
      </w:r>
      <w:r>
        <w:instrText xml:space="preserve"> PAGEREF _Toc29811 \h </w:instrText>
      </w:r>
      <w:r>
        <w:fldChar w:fldCharType="separate"/>
      </w:r>
      <w:r>
        <w:t>41</w:t>
      </w:r>
      <w:r>
        <w:fldChar w:fldCharType="end"/>
      </w:r>
      <w:r>
        <w:rPr>
          <w:rFonts w:hint="eastAsia" w:ascii="华文楷体" w:hAnsi="华文楷体" w:eastAsia="华文楷体" w:cs="华文楷体"/>
          <w:szCs w:val="30"/>
        </w:rPr>
        <w:fldChar w:fldCharType="end"/>
      </w:r>
    </w:p>
    <w:p w14:paraId="5A4325A3">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_Toc21971 </w:instrText>
      </w:r>
      <w:r>
        <w:rPr>
          <w:rFonts w:hint="eastAsia" w:ascii="华文楷体" w:hAnsi="华文楷体" w:eastAsia="华文楷体" w:cs="华文楷体"/>
          <w:szCs w:val="30"/>
        </w:rPr>
        <w:fldChar w:fldCharType="separate"/>
      </w:r>
      <w:r>
        <w:rPr>
          <w:rFonts w:hint="eastAsia"/>
          <w:lang w:val="en-US" w:eastAsia="zh-CN"/>
        </w:rPr>
        <w:t>7.1 内在能力仍需提高</w:t>
      </w:r>
      <w:r>
        <w:tab/>
      </w:r>
      <w:r>
        <w:fldChar w:fldCharType="begin"/>
      </w:r>
      <w:r>
        <w:instrText xml:space="preserve"> PAGEREF _Toc21971 \h </w:instrText>
      </w:r>
      <w:r>
        <w:fldChar w:fldCharType="separate"/>
      </w:r>
      <w:r>
        <w:t>41</w:t>
      </w:r>
      <w:r>
        <w:fldChar w:fldCharType="end"/>
      </w:r>
      <w:r>
        <w:rPr>
          <w:rFonts w:hint="eastAsia" w:ascii="华文楷体" w:hAnsi="华文楷体" w:eastAsia="华文楷体" w:cs="华文楷体"/>
          <w:szCs w:val="30"/>
        </w:rPr>
        <w:fldChar w:fldCharType="end"/>
      </w:r>
    </w:p>
    <w:p w14:paraId="37CCE834">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_Toc14582 </w:instrText>
      </w:r>
      <w:r>
        <w:rPr>
          <w:rFonts w:hint="eastAsia" w:ascii="华文楷体" w:hAnsi="华文楷体" w:eastAsia="华文楷体" w:cs="华文楷体"/>
          <w:szCs w:val="30"/>
        </w:rPr>
        <w:fldChar w:fldCharType="separate"/>
      </w:r>
      <w:r>
        <w:rPr>
          <w:rFonts w:hint="eastAsia"/>
          <w:lang w:val="en-US" w:eastAsia="zh-CN"/>
        </w:rPr>
        <w:t>7.2 教师队伍仍需巩固</w:t>
      </w:r>
      <w:r>
        <w:tab/>
      </w:r>
      <w:r>
        <w:fldChar w:fldCharType="begin"/>
      </w:r>
      <w:r>
        <w:instrText xml:space="preserve"> PAGEREF _Toc14582 \h </w:instrText>
      </w:r>
      <w:r>
        <w:fldChar w:fldCharType="separate"/>
      </w:r>
      <w:r>
        <w:t>41</w:t>
      </w:r>
      <w:r>
        <w:fldChar w:fldCharType="end"/>
      </w:r>
      <w:r>
        <w:rPr>
          <w:rFonts w:hint="eastAsia" w:ascii="华文楷体" w:hAnsi="华文楷体" w:eastAsia="华文楷体" w:cs="华文楷体"/>
          <w:szCs w:val="30"/>
        </w:rPr>
        <w:fldChar w:fldCharType="end"/>
      </w:r>
    </w:p>
    <w:p w14:paraId="18CFA231">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_Toc20532 </w:instrText>
      </w:r>
      <w:r>
        <w:rPr>
          <w:rFonts w:hint="eastAsia" w:ascii="华文楷体" w:hAnsi="华文楷体" w:eastAsia="华文楷体" w:cs="华文楷体"/>
          <w:szCs w:val="30"/>
        </w:rPr>
        <w:fldChar w:fldCharType="separate"/>
      </w:r>
      <w:r>
        <w:rPr>
          <w:rFonts w:hint="eastAsia"/>
          <w:lang w:val="en-US" w:eastAsia="zh-CN"/>
        </w:rPr>
        <w:t>7.3 涉农专业扶持</w:t>
      </w:r>
      <w:r>
        <w:rPr>
          <w:rFonts w:hint="eastAsia" w:cs="Times New Roman"/>
          <w:lang w:val="en-US" w:eastAsia="zh-CN"/>
        </w:rPr>
        <w:t>力度</w:t>
      </w:r>
      <w:r>
        <w:rPr>
          <w:rFonts w:hint="eastAsia"/>
          <w:lang w:val="en-US" w:eastAsia="zh-CN"/>
        </w:rPr>
        <w:t>有待加强</w:t>
      </w:r>
      <w:r>
        <w:tab/>
      </w:r>
      <w:r>
        <w:fldChar w:fldCharType="begin"/>
      </w:r>
      <w:r>
        <w:instrText xml:space="preserve"> PAGEREF _Toc20532 \h </w:instrText>
      </w:r>
      <w:r>
        <w:fldChar w:fldCharType="separate"/>
      </w:r>
      <w:r>
        <w:t>42</w:t>
      </w:r>
      <w:r>
        <w:fldChar w:fldCharType="end"/>
      </w:r>
      <w:r>
        <w:rPr>
          <w:rFonts w:hint="eastAsia" w:ascii="华文楷体" w:hAnsi="华文楷体" w:eastAsia="华文楷体" w:cs="华文楷体"/>
          <w:szCs w:val="30"/>
        </w:rPr>
        <w:fldChar w:fldCharType="end"/>
      </w:r>
    </w:p>
    <w:p w14:paraId="0BD29198">
      <w:pPr>
        <w:pStyle w:val="12"/>
        <w:tabs>
          <w:tab w:val="right" w:leader="dot" w:pos="8306"/>
        </w:tabs>
      </w:pPr>
      <w:r>
        <w:rPr>
          <w:rFonts w:hint="eastAsia" w:ascii="华文楷体" w:hAnsi="华文楷体" w:eastAsia="华文楷体" w:cs="华文楷体"/>
          <w:szCs w:val="30"/>
        </w:rPr>
        <w:fldChar w:fldCharType="begin"/>
      </w:r>
      <w:r>
        <w:rPr>
          <w:rFonts w:hint="eastAsia" w:ascii="华文楷体" w:hAnsi="华文楷体" w:eastAsia="华文楷体" w:cs="华文楷体"/>
          <w:szCs w:val="30"/>
        </w:rPr>
        <w:instrText xml:space="preserve"> HYPERLINK \l _Toc1333 </w:instrText>
      </w:r>
      <w:r>
        <w:rPr>
          <w:rFonts w:hint="eastAsia" w:ascii="华文楷体" w:hAnsi="华文楷体" w:eastAsia="华文楷体" w:cs="华文楷体"/>
          <w:szCs w:val="30"/>
        </w:rPr>
        <w:fldChar w:fldCharType="separate"/>
      </w:r>
      <w:r>
        <w:rPr>
          <w:rFonts w:hint="eastAsia"/>
          <w:lang w:val="en-US" w:eastAsia="zh-CN"/>
        </w:rPr>
        <w:t>7.4 职业教育规模保持存在一定困难</w:t>
      </w:r>
      <w:r>
        <w:tab/>
      </w:r>
      <w:r>
        <w:fldChar w:fldCharType="begin"/>
      </w:r>
      <w:r>
        <w:instrText xml:space="preserve"> PAGEREF _Toc1333 \h </w:instrText>
      </w:r>
      <w:r>
        <w:fldChar w:fldCharType="separate"/>
      </w:r>
      <w:r>
        <w:t>43</w:t>
      </w:r>
      <w:r>
        <w:fldChar w:fldCharType="end"/>
      </w:r>
      <w:r>
        <w:rPr>
          <w:rFonts w:hint="eastAsia" w:ascii="华文楷体" w:hAnsi="华文楷体" w:eastAsia="华文楷体" w:cs="华文楷体"/>
          <w:szCs w:val="30"/>
        </w:rPr>
        <w:fldChar w:fldCharType="end"/>
      </w:r>
    </w:p>
    <w:p w14:paraId="3C9598A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_GB2312" w:hAnsi="楷体_GB2312" w:eastAsia="楷体_GB2312" w:cs="楷体_GB2312"/>
          <w:sz w:val="30"/>
          <w:szCs w:val="30"/>
        </w:rPr>
      </w:pPr>
      <w:r>
        <w:rPr>
          <w:rFonts w:hint="eastAsia" w:ascii="华文楷体" w:hAnsi="华文楷体" w:eastAsia="华文楷体" w:cs="华文楷体"/>
          <w:szCs w:val="30"/>
        </w:rPr>
        <w:fldChar w:fldCharType="end"/>
      </w:r>
    </w:p>
    <w:p w14:paraId="2182106F">
      <w:pPr>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br w:type="page"/>
      </w:r>
    </w:p>
    <w:p w14:paraId="34173027">
      <w:pPr>
        <w:pStyle w:val="10"/>
        <w:tabs>
          <w:tab w:val="right" w:leader="dot" w:pos="8306"/>
        </w:tabs>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案 例 目 录</w:t>
      </w:r>
    </w:p>
    <w:p w14:paraId="17E124B1">
      <w:pPr>
        <w:rPr>
          <w:rFonts w:hint="eastAsia"/>
          <w:lang w:val="en-US" w:eastAsia="zh-CN"/>
        </w:rPr>
      </w:pPr>
    </w:p>
    <w:p w14:paraId="5CFF2CC9">
      <w:pPr>
        <w:pStyle w:val="10"/>
        <w:tabs>
          <w:tab w:val="right" w:leader="dot" w:pos="8306"/>
        </w:tabs>
      </w:pPr>
      <w:r>
        <w:rPr>
          <w:rFonts w:hint="eastAsia" w:ascii="华文楷体" w:hAnsi="华文楷体" w:eastAsia="华文楷体" w:cs="华文楷体"/>
          <w:sz w:val="30"/>
          <w:szCs w:val="30"/>
          <w:lang w:val="en-US" w:eastAsia="zh-CN"/>
        </w:rPr>
        <w:fldChar w:fldCharType="begin"/>
      </w:r>
      <w:r>
        <w:rPr>
          <w:rFonts w:hint="eastAsia" w:ascii="华文楷体" w:hAnsi="华文楷体" w:eastAsia="华文楷体" w:cs="华文楷体"/>
          <w:sz w:val="30"/>
          <w:szCs w:val="30"/>
          <w:lang w:val="en-US" w:eastAsia="zh-CN"/>
        </w:rPr>
        <w:instrText xml:space="preserve">TOC \f \t "案例标题,1,标题 1,9" \h \u </w:instrText>
      </w:r>
      <w:r>
        <w:rPr>
          <w:rFonts w:hint="eastAsia" w:ascii="华文楷体" w:hAnsi="华文楷体" w:eastAsia="华文楷体" w:cs="华文楷体"/>
          <w:sz w:val="30"/>
          <w:szCs w:val="30"/>
          <w:lang w:val="en-US" w:eastAsia="zh-CN"/>
        </w:rPr>
        <w:fldChar w:fldCharType="separate"/>
      </w: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_Toc9345 </w:instrText>
      </w:r>
      <w:r>
        <w:rPr>
          <w:rFonts w:hint="eastAsia" w:ascii="华文楷体" w:hAnsi="华文楷体" w:eastAsia="华文楷体" w:cs="华文楷体"/>
          <w:szCs w:val="30"/>
          <w:lang w:val="en-US" w:eastAsia="zh-CN"/>
        </w:rPr>
        <w:fldChar w:fldCharType="separate"/>
      </w:r>
      <w:r>
        <w:rPr>
          <w:rFonts w:hint="default"/>
          <w:lang w:val="en-US" w:eastAsia="zh-CN"/>
        </w:rPr>
        <w:t>案例</w:t>
      </w:r>
      <w:r>
        <w:rPr>
          <w:rFonts w:hint="eastAsia"/>
          <w:lang w:val="en-US" w:eastAsia="zh-CN"/>
        </w:rPr>
        <w:t>1</w:t>
      </w:r>
      <w:r>
        <w:rPr>
          <w:rFonts w:hint="default"/>
          <w:lang w:val="en-US" w:eastAsia="zh-CN"/>
        </w:rPr>
        <w:t>：</w:t>
      </w:r>
      <w:r>
        <w:rPr>
          <w:rFonts w:hint="eastAsia"/>
          <w:lang w:val="en-US" w:eastAsia="zh-CN"/>
        </w:rPr>
        <w:t>九江</w:t>
      </w:r>
      <w:r>
        <w:rPr>
          <w:rFonts w:hint="default"/>
          <w:lang w:val="en-US" w:eastAsia="zh-CN"/>
        </w:rPr>
        <w:t>科技中专开创学校思想政治教育工作新局面</w:t>
      </w:r>
      <w:r>
        <w:tab/>
      </w:r>
      <w:r>
        <w:fldChar w:fldCharType="begin"/>
      </w:r>
      <w:r>
        <w:instrText xml:space="preserve"> PAGEREF _Toc9345 \h </w:instrText>
      </w:r>
      <w:r>
        <w:fldChar w:fldCharType="separate"/>
      </w:r>
      <w:r>
        <w:t>9</w:t>
      </w:r>
      <w:r>
        <w:fldChar w:fldCharType="end"/>
      </w:r>
      <w:r>
        <w:rPr>
          <w:rFonts w:hint="eastAsia" w:ascii="华文楷体" w:hAnsi="华文楷体" w:eastAsia="华文楷体" w:cs="华文楷体"/>
          <w:szCs w:val="30"/>
          <w:lang w:val="en-US" w:eastAsia="zh-CN"/>
        </w:rPr>
        <w:fldChar w:fldCharType="end"/>
      </w:r>
    </w:p>
    <w:p w14:paraId="77670E65">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_Toc28158 </w:instrText>
      </w:r>
      <w:r>
        <w:rPr>
          <w:rFonts w:hint="eastAsia" w:ascii="华文楷体" w:hAnsi="华文楷体" w:eastAsia="华文楷体" w:cs="华文楷体"/>
          <w:szCs w:val="30"/>
          <w:lang w:val="en-US" w:eastAsia="zh-CN"/>
        </w:rPr>
        <w:fldChar w:fldCharType="separate"/>
      </w:r>
      <w:r>
        <w:rPr>
          <w:rFonts w:hint="eastAsia"/>
          <w:lang w:val="en-US" w:eastAsia="zh-CN"/>
        </w:rPr>
        <w:t>案例2：</w:t>
      </w:r>
      <w:r>
        <w:rPr>
          <w:rFonts w:hint="default"/>
          <w:lang w:val="en-US" w:eastAsia="zh-CN"/>
        </w:rPr>
        <w:t>柴桑中职学校开展学生专业技能展示活动</w:t>
      </w:r>
      <w:r>
        <w:tab/>
      </w:r>
      <w:r>
        <w:fldChar w:fldCharType="begin"/>
      </w:r>
      <w:r>
        <w:instrText xml:space="preserve"> PAGEREF _Toc28158 \h </w:instrText>
      </w:r>
      <w:r>
        <w:fldChar w:fldCharType="separate"/>
      </w:r>
      <w:r>
        <w:t>17</w:t>
      </w:r>
      <w:r>
        <w:fldChar w:fldCharType="end"/>
      </w:r>
      <w:r>
        <w:rPr>
          <w:rFonts w:hint="eastAsia" w:ascii="华文楷体" w:hAnsi="华文楷体" w:eastAsia="华文楷体" w:cs="华文楷体"/>
          <w:szCs w:val="30"/>
          <w:lang w:val="en-US" w:eastAsia="zh-CN"/>
        </w:rPr>
        <w:fldChar w:fldCharType="end"/>
      </w:r>
    </w:p>
    <w:p w14:paraId="5ABF0D4A">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_Toc6908 </w:instrText>
      </w:r>
      <w:r>
        <w:rPr>
          <w:rFonts w:hint="eastAsia" w:ascii="华文楷体" w:hAnsi="华文楷体" w:eastAsia="华文楷体" w:cs="华文楷体"/>
          <w:szCs w:val="30"/>
          <w:lang w:val="en-US" w:eastAsia="zh-CN"/>
        </w:rPr>
        <w:fldChar w:fldCharType="separate"/>
      </w:r>
      <w:r>
        <w:rPr>
          <w:rFonts w:hint="default"/>
          <w:lang w:val="en-US" w:eastAsia="zh-CN"/>
        </w:rPr>
        <w:t>案例</w:t>
      </w:r>
      <w:r>
        <w:rPr>
          <w:rFonts w:hint="eastAsia"/>
          <w:lang w:val="en-US" w:eastAsia="zh-CN"/>
        </w:rPr>
        <w:t>3</w:t>
      </w:r>
      <w:r>
        <w:rPr>
          <w:rFonts w:hint="default"/>
          <w:lang w:val="en-US" w:eastAsia="zh-CN"/>
        </w:rPr>
        <w:t>：</w:t>
      </w:r>
      <w:r>
        <w:rPr>
          <w:rFonts w:hint="eastAsia"/>
          <w:lang w:val="en-US" w:eastAsia="zh-CN"/>
        </w:rPr>
        <w:t>修水中专助力</w:t>
      </w:r>
      <w:r>
        <w:rPr>
          <w:rFonts w:hint="default"/>
          <w:lang w:val="en-US" w:eastAsia="zh-CN"/>
        </w:rPr>
        <w:t xml:space="preserve"> “石缝工厂”发展</w:t>
      </w:r>
      <w:r>
        <w:tab/>
      </w:r>
      <w:r>
        <w:fldChar w:fldCharType="begin"/>
      </w:r>
      <w:r>
        <w:instrText xml:space="preserve"> PAGEREF _Toc6908 \h </w:instrText>
      </w:r>
      <w:r>
        <w:fldChar w:fldCharType="separate"/>
      </w:r>
      <w:r>
        <w:t>20</w:t>
      </w:r>
      <w:r>
        <w:fldChar w:fldCharType="end"/>
      </w:r>
      <w:r>
        <w:rPr>
          <w:rFonts w:hint="eastAsia" w:ascii="华文楷体" w:hAnsi="华文楷体" w:eastAsia="华文楷体" w:cs="华文楷体"/>
          <w:szCs w:val="30"/>
          <w:lang w:val="en-US" w:eastAsia="zh-CN"/>
        </w:rPr>
        <w:fldChar w:fldCharType="end"/>
      </w:r>
    </w:p>
    <w:p w14:paraId="20E5C22C">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_Toc16397 </w:instrText>
      </w:r>
      <w:r>
        <w:rPr>
          <w:rFonts w:hint="eastAsia" w:ascii="华文楷体" w:hAnsi="华文楷体" w:eastAsia="华文楷体" w:cs="华文楷体"/>
          <w:szCs w:val="30"/>
          <w:lang w:val="en-US" w:eastAsia="zh-CN"/>
        </w:rPr>
        <w:fldChar w:fldCharType="separate"/>
      </w:r>
      <w:r>
        <w:rPr>
          <w:rFonts w:hint="eastAsia"/>
          <w:lang w:val="en-US" w:eastAsia="zh-CN"/>
        </w:rPr>
        <w:t>案例4：瑞昌中专</w:t>
      </w:r>
      <w:r>
        <w:rPr>
          <w:rFonts w:hint="default"/>
          <w:lang w:val="en-US" w:eastAsia="zh-CN"/>
        </w:rPr>
        <w:t>"青鸟义修服务队”进社区活动</w:t>
      </w:r>
      <w:r>
        <w:tab/>
      </w:r>
      <w:r>
        <w:fldChar w:fldCharType="begin"/>
      </w:r>
      <w:r>
        <w:instrText xml:space="preserve"> PAGEREF _Toc16397 \h </w:instrText>
      </w:r>
      <w:r>
        <w:fldChar w:fldCharType="separate"/>
      </w:r>
      <w:r>
        <w:t>21</w:t>
      </w:r>
      <w:r>
        <w:fldChar w:fldCharType="end"/>
      </w:r>
      <w:r>
        <w:rPr>
          <w:rFonts w:hint="eastAsia" w:ascii="华文楷体" w:hAnsi="华文楷体" w:eastAsia="华文楷体" w:cs="华文楷体"/>
          <w:szCs w:val="30"/>
          <w:lang w:val="en-US" w:eastAsia="zh-CN"/>
        </w:rPr>
        <w:fldChar w:fldCharType="end"/>
      </w:r>
    </w:p>
    <w:p w14:paraId="7D74AACD">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_Toc13165 </w:instrText>
      </w:r>
      <w:r>
        <w:rPr>
          <w:rFonts w:hint="eastAsia" w:ascii="华文楷体" w:hAnsi="华文楷体" w:eastAsia="华文楷体" w:cs="华文楷体"/>
          <w:szCs w:val="30"/>
          <w:lang w:val="en-US" w:eastAsia="zh-CN"/>
        </w:rPr>
        <w:fldChar w:fldCharType="separate"/>
      </w:r>
      <w:r>
        <w:rPr>
          <w:rFonts w:hint="eastAsia" w:cs="Times New Roman"/>
          <w:lang w:val="en-US" w:eastAsia="zh-CN"/>
        </w:rPr>
        <w:t>案例5：</w:t>
      </w:r>
      <w:r>
        <w:rPr>
          <w:rFonts w:hint="default" w:cs="Times New Roman"/>
          <w:lang w:val="en-US" w:eastAsia="zh-CN"/>
        </w:rPr>
        <w:t>彭泽中专组织党员干部积极参与抗洪防汛工作</w:t>
      </w:r>
      <w:r>
        <w:tab/>
      </w:r>
      <w:r>
        <w:fldChar w:fldCharType="begin"/>
      </w:r>
      <w:r>
        <w:instrText xml:space="preserve"> PAGEREF _Toc13165 \h </w:instrText>
      </w:r>
      <w:r>
        <w:fldChar w:fldCharType="separate"/>
      </w:r>
      <w:r>
        <w:t>22</w:t>
      </w:r>
      <w:r>
        <w:fldChar w:fldCharType="end"/>
      </w:r>
      <w:r>
        <w:rPr>
          <w:rFonts w:hint="eastAsia" w:ascii="华文楷体" w:hAnsi="华文楷体" w:eastAsia="华文楷体" w:cs="华文楷体"/>
          <w:szCs w:val="30"/>
          <w:lang w:val="en-US" w:eastAsia="zh-CN"/>
        </w:rPr>
        <w:fldChar w:fldCharType="end"/>
      </w:r>
    </w:p>
    <w:p w14:paraId="373E3D82">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_Toc15750 </w:instrText>
      </w:r>
      <w:r>
        <w:rPr>
          <w:rFonts w:hint="eastAsia" w:ascii="华文楷体" w:hAnsi="华文楷体" w:eastAsia="华文楷体" w:cs="华文楷体"/>
          <w:szCs w:val="30"/>
          <w:lang w:val="en-US" w:eastAsia="zh-CN"/>
        </w:rPr>
        <w:fldChar w:fldCharType="separate"/>
      </w:r>
      <w:r>
        <w:rPr>
          <w:rFonts w:hint="eastAsia"/>
          <w:lang w:val="en-US" w:eastAsia="zh-CN"/>
        </w:rPr>
        <w:t>案例6：修水中专迎战“CNC学徒训战营”</w:t>
      </w:r>
      <w:r>
        <w:tab/>
      </w:r>
      <w:r>
        <w:fldChar w:fldCharType="begin"/>
      </w:r>
      <w:r>
        <w:instrText xml:space="preserve"> PAGEREF _Toc15750 \h </w:instrText>
      </w:r>
      <w:r>
        <w:fldChar w:fldCharType="separate"/>
      </w:r>
      <w:r>
        <w:t>23</w:t>
      </w:r>
      <w:r>
        <w:fldChar w:fldCharType="end"/>
      </w:r>
      <w:r>
        <w:rPr>
          <w:rFonts w:hint="eastAsia" w:ascii="华文楷体" w:hAnsi="华文楷体" w:eastAsia="华文楷体" w:cs="华文楷体"/>
          <w:szCs w:val="30"/>
          <w:lang w:val="en-US" w:eastAsia="zh-CN"/>
        </w:rPr>
        <w:fldChar w:fldCharType="end"/>
      </w:r>
    </w:p>
    <w:p w14:paraId="420AEE57">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_Toc3776 </w:instrText>
      </w:r>
      <w:r>
        <w:rPr>
          <w:rFonts w:hint="eastAsia" w:ascii="华文楷体" w:hAnsi="华文楷体" w:eastAsia="华文楷体" w:cs="华文楷体"/>
          <w:szCs w:val="30"/>
          <w:lang w:val="en-US" w:eastAsia="zh-CN"/>
        </w:rPr>
        <w:fldChar w:fldCharType="separate"/>
      </w:r>
      <w:r>
        <w:rPr>
          <w:rFonts w:hint="default"/>
          <w:lang w:val="en-US" w:eastAsia="zh-CN"/>
        </w:rPr>
        <w:t>案例</w:t>
      </w:r>
      <w:r>
        <w:rPr>
          <w:rFonts w:hint="eastAsia"/>
          <w:lang w:val="en-US" w:eastAsia="zh-CN"/>
        </w:rPr>
        <w:t>7</w:t>
      </w:r>
      <w:r>
        <w:rPr>
          <w:rFonts w:hint="default"/>
          <w:lang w:val="en-US" w:eastAsia="zh-CN"/>
        </w:rPr>
        <w:t>：</w:t>
      </w:r>
      <w:r>
        <w:rPr>
          <w:rFonts w:hint="eastAsia"/>
          <w:lang w:val="en-US" w:eastAsia="zh-CN"/>
        </w:rPr>
        <w:t>德安中专开展清明祭扫主题活动</w:t>
      </w:r>
      <w:r>
        <w:tab/>
      </w:r>
      <w:r>
        <w:fldChar w:fldCharType="begin"/>
      </w:r>
      <w:r>
        <w:instrText xml:space="preserve"> PAGEREF _Toc3776 \h </w:instrText>
      </w:r>
      <w:r>
        <w:fldChar w:fldCharType="separate"/>
      </w:r>
      <w:r>
        <w:t>25</w:t>
      </w:r>
      <w:r>
        <w:fldChar w:fldCharType="end"/>
      </w:r>
      <w:r>
        <w:rPr>
          <w:rFonts w:hint="eastAsia" w:ascii="华文楷体" w:hAnsi="华文楷体" w:eastAsia="华文楷体" w:cs="华文楷体"/>
          <w:szCs w:val="30"/>
          <w:lang w:val="en-US" w:eastAsia="zh-CN"/>
        </w:rPr>
        <w:fldChar w:fldCharType="end"/>
      </w:r>
    </w:p>
    <w:p w14:paraId="7CBA0CCB">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_Toc14324 </w:instrText>
      </w:r>
      <w:r>
        <w:rPr>
          <w:rFonts w:hint="eastAsia" w:ascii="华文楷体" w:hAnsi="华文楷体" w:eastAsia="华文楷体" w:cs="华文楷体"/>
          <w:szCs w:val="30"/>
          <w:lang w:val="en-US" w:eastAsia="zh-CN"/>
        </w:rPr>
        <w:fldChar w:fldCharType="separate"/>
      </w:r>
      <w:r>
        <w:rPr>
          <w:rFonts w:hint="default"/>
          <w:lang w:val="en-US" w:eastAsia="zh-CN"/>
        </w:rPr>
        <w:t>案例</w:t>
      </w:r>
      <w:r>
        <w:rPr>
          <w:rFonts w:hint="eastAsia"/>
          <w:lang w:val="en-US" w:eastAsia="zh-CN"/>
        </w:rPr>
        <w:t>8：共青中医药学校将传统文化融入专业教学</w:t>
      </w:r>
      <w:r>
        <w:tab/>
      </w:r>
      <w:r>
        <w:fldChar w:fldCharType="begin"/>
      </w:r>
      <w:r>
        <w:instrText xml:space="preserve"> PAGEREF _Toc14324 \h </w:instrText>
      </w:r>
      <w:r>
        <w:fldChar w:fldCharType="separate"/>
      </w:r>
      <w:r>
        <w:t>27</w:t>
      </w:r>
      <w:r>
        <w:fldChar w:fldCharType="end"/>
      </w:r>
      <w:r>
        <w:rPr>
          <w:rFonts w:hint="eastAsia" w:ascii="华文楷体" w:hAnsi="华文楷体" w:eastAsia="华文楷体" w:cs="华文楷体"/>
          <w:szCs w:val="30"/>
          <w:lang w:val="en-US" w:eastAsia="zh-CN"/>
        </w:rPr>
        <w:fldChar w:fldCharType="end"/>
      </w:r>
    </w:p>
    <w:p w14:paraId="0A15DB85">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_Toc25438 </w:instrText>
      </w:r>
      <w:r>
        <w:rPr>
          <w:rFonts w:hint="eastAsia" w:ascii="华文楷体" w:hAnsi="华文楷体" w:eastAsia="华文楷体" w:cs="华文楷体"/>
          <w:szCs w:val="30"/>
          <w:lang w:val="en-US" w:eastAsia="zh-CN"/>
        </w:rPr>
        <w:fldChar w:fldCharType="separate"/>
      </w:r>
      <w:r>
        <w:rPr>
          <w:rFonts w:hint="eastAsia"/>
          <w:lang w:val="en-US" w:eastAsia="zh-CN"/>
        </w:rPr>
        <w:t>案例9：瑞昌中专非物质文化遗产进校园系列活动</w:t>
      </w:r>
      <w:r>
        <w:tab/>
      </w:r>
      <w:r>
        <w:fldChar w:fldCharType="begin"/>
      </w:r>
      <w:r>
        <w:instrText xml:space="preserve"> PAGEREF _Toc25438 \h </w:instrText>
      </w:r>
      <w:r>
        <w:fldChar w:fldCharType="separate"/>
      </w:r>
      <w:r>
        <w:t>28</w:t>
      </w:r>
      <w:r>
        <w:fldChar w:fldCharType="end"/>
      </w:r>
      <w:r>
        <w:rPr>
          <w:rFonts w:hint="eastAsia" w:ascii="华文楷体" w:hAnsi="华文楷体" w:eastAsia="华文楷体" w:cs="华文楷体"/>
          <w:szCs w:val="30"/>
          <w:lang w:val="en-US" w:eastAsia="zh-CN"/>
        </w:rPr>
        <w:fldChar w:fldCharType="end"/>
      </w:r>
    </w:p>
    <w:p w14:paraId="21039D6B">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_Toc13057 </w:instrText>
      </w:r>
      <w:r>
        <w:rPr>
          <w:rFonts w:hint="eastAsia" w:ascii="华文楷体" w:hAnsi="华文楷体" w:eastAsia="华文楷体" w:cs="华文楷体"/>
          <w:szCs w:val="30"/>
          <w:lang w:val="en-US" w:eastAsia="zh-CN"/>
        </w:rPr>
        <w:fldChar w:fldCharType="separate"/>
      </w:r>
      <w:r>
        <w:rPr>
          <w:rFonts w:hint="eastAsia" w:cs="Times New Roman"/>
          <w:lang w:val="en-US" w:eastAsia="zh-CN"/>
        </w:rPr>
        <w:t>案例10：修水韶华传承千年文化，武术点亮校园</w:t>
      </w:r>
      <w:r>
        <w:tab/>
      </w:r>
      <w:r>
        <w:fldChar w:fldCharType="begin"/>
      </w:r>
      <w:r>
        <w:instrText xml:space="preserve"> PAGEREF _Toc13057 \h </w:instrText>
      </w:r>
      <w:r>
        <w:fldChar w:fldCharType="separate"/>
      </w:r>
      <w:r>
        <w:t>29</w:t>
      </w:r>
      <w:r>
        <w:fldChar w:fldCharType="end"/>
      </w:r>
      <w:r>
        <w:rPr>
          <w:rFonts w:hint="eastAsia" w:ascii="华文楷体" w:hAnsi="华文楷体" w:eastAsia="华文楷体" w:cs="华文楷体"/>
          <w:szCs w:val="30"/>
          <w:lang w:val="en-US" w:eastAsia="zh-CN"/>
        </w:rPr>
        <w:fldChar w:fldCharType="end"/>
      </w:r>
    </w:p>
    <w:p w14:paraId="5F01478D">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_Toc14757 </w:instrText>
      </w:r>
      <w:r>
        <w:rPr>
          <w:rFonts w:hint="eastAsia" w:ascii="华文楷体" w:hAnsi="华文楷体" w:eastAsia="华文楷体" w:cs="华文楷体"/>
          <w:szCs w:val="30"/>
          <w:lang w:val="en-US" w:eastAsia="zh-CN"/>
        </w:rPr>
        <w:fldChar w:fldCharType="separate"/>
      </w:r>
      <w:r>
        <w:rPr>
          <w:rFonts w:hint="eastAsia"/>
          <w:lang w:val="en-US" w:eastAsia="zh-CN"/>
        </w:rPr>
        <w:t>案例11：华东电子与瑞颜生物举行订单班授牌仪式</w:t>
      </w:r>
      <w:r>
        <w:tab/>
      </w:r>
      <w:r>
        <w:fldChar w:fldCharType="begin"/>
      </w:r>
      <w:r>
        <w:instrText xml:space="preserve"> PAGEREF _Toc14757 \h </w:instrText>
      </w:r>
      <w:r>
        <w:fldChar w:fldCharType="separate"/>
      </w:r>
      <w:r>
        <w:t>31</w:t>
      </w:r>
      <w:r>
        <w:fldChar w:fldCharType="end"/>
      </w:r>
      <w:r>
        <w:rPr>
          <w:rFonts w:hint="eastAsia" w:ascii="华文楷体" w:hAnsi="华文楷体" w:eastAsia="华文楷体" w:cs="华文楷体"/>
          <w:szCs w:val="30"/>
          <w:lang w:val="en-US" w:eastAsia="zh-CN"/>
        </w:rPr>
        <w:fldChar w:fldCharType="end"/>
      </w:r>
    </w:p>
    <w:p w14:paraId="7F52DD1A">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_Toc17282 </w:instrText>
      </w:r>
      <w:r>
        <w:rPr>
          <w:rFonts w:hint="eastAsia" w:ascii="华文楷体" w:hAnsi="华文楷体" w:eastAsia="华文楷体" w:cs="华文楷体"/>
          <w:szCs w:val="30"/>
          <w:lang w:val="en-US" w:eastAsia="zh-CN"/>
        </w:rPr>
        <w:fldChar w:fldCharType="separate"/>
      </w:r>
      <w:r>
        <w:rPr>
          <w:rFonts w:hint="eastAsia"/>
          <w:lang w:val="en-US" w:eastAsia="zh-CN"/>
        </w:rPr>
        <w:t>案例12：九江科技中专在试点中前行，在示范中发展</w:t>
      </w:r>
      <w:r>
        <w:tab/>
      </w:r>
      <w:r>
        <w:fldChar w:fldCharType="begin"/>
      </w:r>
      <w:r>
        <w:instrText xml:space="preserve"> PAGEREF _Toc17282 \h </w:instrText>
      </w:r>
      <w:r>
        <w:fldChar w:fldCharType="separate"/>
      </w:r>
      <w:r>
        <w:t>33</w:t>
      </w:r>
      <w:r>
        <w:fldChar w:fldCharType="end"/>
      </w:r>
      <w:r>
        <w:rPr>
          <w:rFonts w:hint="eastAsia" w:ascii="华文楷体" w:hAnsi="华文楷体" w:eastAsia="华文楷体" w:cs="华文楷体"/>
          <w:szCs w:val="30"/>
          <w:lang w:val="en-US" w:eastAsia="zh-CN"/>
        </w:rPr>
        <w:fldChar w:fldCharType="end"/>
      </w:r>
    </w:p>
    <w:p w14:paraId="3FBF2221">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_Toc4415 </w:instrText>
      </w:r>
      <w:r>
        <w:rPr>
          <w:rFonts w:hint="eastAsia" w:ascii="华文楷体" w:hAnsi="华文楷体" w:eastAsia="华文楷体" w:cs="华文楷体"/>
          <w:szCs w:val="30"/>
          <w:lang w:val="en-US" w:eastAsia="zh-CN"/>
        </w:rPr>
        <w:fldChar w:fldCharType="separate"/>
      </w:r>
      <w:r>
        <w:rPr>
          <w:rFonts w:hint="default"/>
          <w:lang w:val="en-US" w:eastAsia="zh-CN"/>
        </w:rPr>
        <w:t>案例</w:t>
      </w:r>
      <w:r>
        <w:rPr>
          <w:rFonts w:hint="eastAsia"/>
          <w:lang w:val="en-US" w:eastAsia="zh-CN"/>
        </w:rPr>
        <w:t>13</w:t>
      </w:r>
      <w:r>
        <w:rPr>
          <w:rFonts w:hint="default"/>
          <w:lang w:val="en-US" w:eastAsia="zh-CN"/>
        </w:rPr>
        <w:t>：</w:t>
      </w:r>
      <w:r>
        <w:rPr>
          <w:rFonts w:hint="eastAsia"/>
          <w:lang w:val="en-US" w:eastAsia="zh-CN"/>
        </w:rPr>
        <w:t>修水中专充分发挥党建引领作用</w:t>
      </w:r>
      <w:r>
        <w:tab/>
      </w:r>
      <w:r>
        <w:fldChar w:fldCharType="begin"/>
      </w:r>
      <w:r>
        <w:instrText xml:space="preserve"> PAGEREF _Toc4415 \h </w:instrText>
      </w:r>
      <w:r>
        <w:fldChar w:fldCharType="separate"/>
      </w:r>
      <w:r>
        <w:t>38</w:t>
      </w:r>
      <w:r>
        <w:fldChar w:fldCharType="end"/>
      </w:r>
      <w:r>
        <w:rPr>
          <w:rFonts w:hint="eastAsia" w:ascii="华文楷体" w:hAnsi="华文楷体" w:eastAsia="华文楷体" w:cs="华文楷体"/>
          <w:szCs w:val="30"/>
          <w:lang w:val="en-US" w:eastAsia="zh-CN"/>
        </w:rPr>
        <w:fldChar w:fldCharType="end"/>
      </w:r>
    </w:p>
    <w:p w14:paraId="1488D8E6">
      <w:pPr>
        <w:pStyle w:val="10"/>
        <w:tabs>
          <w:tab w:val="right" w:leader="dot" w:pos="8306"/>
        </w:tabs>
        <w:jc w:val="center"/>
        <w:rPr>
          <w:rFonts w:hint="eastAsia" w:ascii="楷体_GB2312" w:hAnsi="楷体_GB2312" w:eastAsia="楷体_GB2312" w:cs="楷体_GB2312"/>
          <w:sz w:val="30"/>
          <w:szCs w:val="30"/>
          <w:lang w:val="en-US" w:eastAsia="zh-CN"/>
        </w:rPr>
      </w:pPr>
      <w:r>
        <w:rPr>
          <w:rFonts w:hint="eastAsia" w:ascii="华文楷体" w:hAnsi="华文楷体" w:eastAsia="华文楷体" w:cs="华文楷体"/>
          <w:szCs w:val="30"/>
          <w:lang w:val="en-US" w:eastAsia="zh-CN"/>
        </w:rPr>
        <w:fldChar w:fldCharType="end"/>
      </w:r>
    </w:p>
    <w:p w14:paraId="1DA277DE">
      <w:pPr>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br w:type="page"/>
      </w:r>
    </w:p>
    <w:p w14:paraId="383F8349">
      <w:pPr>
        <w:pStyle w:val="10"/>
        <w:tabs>
          <w:tab w:val="right" w:leader="dot" w:pos="8306"/>
        </w:tabs>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表 目 录</w:t>
      </w:r>
    </w:p>
    <w:p w14:paraId="2CD3F842">
      <w:pPr>
        <w:rPr>
          <w:rFonts w:hint="eastAsia"/>
          <w:lang w:val="en-US" w:eastAsia="zh-CN"/>
        </w:rPr>
      </w:pPr>
    </w:p>
    <w:p w14:paraId="44204433">
      <w:pPr>
        <w:pStyle w:val="10"/>
        <w:tabs>
          <w:tab w:val="right" w:leader="dot" w:pos="8306"/>
        </w:tabs>
      </w:pPr>
      <w:r>
        <w:rPr>
          <w:rFonts w:hint="eastAsia" w:ascii="华文楷体" w:hAnsi="华文楷体" w:eastAsia="华文楷体" w:cs="华文楷体"/>
          <w:sz w:val="30"/>
          <w:szCs w:val="30"/>
          <w:lang w:val="en-US" w:eastAsia="zh-CN"/>
        </w:rPr>
        <w:fldChar w:fldCharType="begin"/>
      </w:r>
      <w:r>
        <w:rPr>
          <w:rFonts w:hint="eastAsia" w:ascii="华文楷体" w:hAnsi="华文楷体" w:eastAsia="华文楷体" w:cs="华文楷体"/>
          <w:sz w:val="30"/>
          <w:szCs w:val="30"/>
          <w:lang w:val="en-US" w:eastAsia="zh-CN"/>
        </w:rPr>
        <w:instrText xml:space="preserve">TOC \t "年报表格,1,标题 1,8" \h</w:instrText>
      </w:r>
      <w:r>
        <w:rPr>
          <w:rFonts w:hint="eastAsia" w:ascii="华文楷体" w:hAnsi="华文楷体" w:eastAsia="华文楷体" w:cs="华文楷体"/>
          <w:sz w:val="30"/>
          <w:szCs w:val="30"/>
          <w:lang w:val="en-US" w:eastAsia="zh-CN"/>
        </w:rPr>
        <w:fldChar w:fldCharType="separate"/>
      </w: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_Toc19921 </w:instrText>
      </w:r>
      <w:r>
        <w:rPr>
          <w:rFonts w:hint="eastAsia" w:ascii="华文楷体" w:hAnsi="华文楷体" w:eastAsia="华文楷体" w:cs="华文楷体"/>
          <w:szCs w:val="30"/>
          <w:lang w:val="en-US" w:eastAsia="zh-CN"/>
        </w:rPr>
        <w:fldChar w:fldCharType="separate"/>
      </w:r>
      <w:r>
        <w:rPr>
          <w:rFonts w:hint="default"/>
          <w:lang w:val="en-US" w:eastAsia="zh-CN"/>
        </w:rPr>
        <w:t>表1：九江市202</w:t>
      </w:r>
      <w:r>
        <w:rPr>
          <w:rFonts w:hint="eastAsia"/>
          <w:lang w:val="en-US" w:eastAsia="zh-CN"/>
        </w:rPr>
        <w:t>4</w:t>
      </w:r>
      <w:r>
        <w:rPr>
          <w:rFonts w:hint="default"/>
          <w:lang w:val="en-US" w:eastAsia="zh-CN"/>
        </w:rPr>
        <w:t>年具有招生资质中等职业学校名单</w:t>
      </w:r>
      <w:r>
        <w:tab/>
      </w:r>
      <w:r>
        <w:fldChar w:fldCharType="begin"/>
      </w:r>
      <w:r>
        <w:instrText xml:space="preserve"> PAGEREF _Toc19921 \h </w:instrText>
      </w:r>
      <w:r>
        <w:fldChar w:fldCharType="separate"/>
      </w:r>
      <w:r>
        <w:t>1</w:t>
      </w:r>
      <w:r>
        <w:fldChar w:fldCharType="end"/>
      </w:r>
      <w:r>
        <w:rPr>
          <w:rFonts w:hint="eastAsia" w:ascii="华文楷体" w:hAnsi="华文楷体" w:eastAsia="华文楷体" w:cs="华文楷体"/>
          <w:szCs w:val="30"/>
          <w:lang w:val="en-US" w:eastAsia="zh-CN"/>
        </w:rPr>
        <w:fldChar w:fldCharType="end"/>
      </w:r>
    </w:p>
    <w:p w14:paraId="7831E3F0">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_Toc24201 </w:instrText>
      </w:r>
      <w:r>
        <w:rPr>
          <w:rFonts w:hint="eastAsia" w:ascii="华文楷体" w:hAnsi="华文楷体" w:eastAsia="华文楷体" w:cs="华文楷体"/>
          <w:szCs w:val="30"/>
          <w:lang w:val="en-US" w:eastAsia="zh-CN"/>
        </w:rPr>
        <w:fldChar w:fldCharType="separate"/>
      </w:r>
      <w:r>
        <w:rPr>
          <w:rFonts w:hint="default"/>
          <w:lang w:val="en-US" w:eastAsia="zh-CN"/>
        </w:rPr>
        <w:t>表2：全市各类学校中职阶段教育在校生情况一览表</w:t>
      </w:r>
      <w:r>
        <w:tab/>
      </w:r>
      <w:r>
        <w:fldChar w:fldCharType="begin"/>
      </w:r>
      <w:r>
        <w:instrText xml:space="preserve"> PAGEREF _Toc24201 \h </w:instrText>
      </w:r>
      <w:r>
        <w:fldChar w:fldCharType="separate"/>
      </w:r>
      <w:r>
        <w:t>2</w:t>
      </w:r>
      <w:r>
        <w:fldChar w:fldCharType="end"/>
      </w:r>
      <w:r>
        <w:rPr>
          <w:rFonts w:hint="eastAsia" w:ascii="华文楷体" w:hAnsi="华文楷体" w:eastAsia="华文楷体" w:cs="华文楷体"/>
          <w:szCs w:val="30"/>
          <w:lang w:val="en-US" w:eastAsia="zh-CN"/>
        </w:rPr>
        <w:fldChar w:fldCharType="end"/>
      </w:r>
    </w:p>
    <w:p w14:paraId="6F290E5B">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_Toc29657 </w:instrText>
      </w:r>
      <w:r>
        <w:rPr>
          <w:rFonts w:hint="eastAsia" w:ascii="华文楷体" w:hAnsi="华文楷体" w:eastAsia="华文楷体" w:cs="华文楷体"/>
          <w:szCs w:val="30"/>
          <w:lang w:val="en-US" w:eastAsia="zh-CN"/>
        </w:rPr>
        <w:fldChar w:fldCharType="separate"/>
      </w:r>
      <w:r>
        <w:rPr>
          <w:rFonts w:hint="eastAsia"/>
          <w:lang w:val="en-US" w:eastAsia="zh-CN"/>
        </w:rPr>
        <w:t>表3：中等职业教育在校生历年规模统计表</w:t>
      </w:r>
      <w:r>
        <w:tab/>
      </w:r>
      <w:r>
        <w:fldChar w:fldCharType="begin"/>
      </w:r>
      <w:r>
        <w:instrText xml:space="preserve"> PAGEREF _Toc29657 \h </w:instrText>
      </w:r>
      <w:r>
        <w:fldChar w:fldCharType="separate"/>
      </w:r>
      <w:r>
        <w:t>4</w:t>
      </w:r>
      <w:r>
        <w:fldChar w:fldCharType="end"/>
      </w:r>
      <w:r>
        <w:rPr>
          <w:rFonts w:hint="eastAsia" w:ascii="华文楷体" w:hAnsi="华文楷体" w:eastAsia="华文楷体" w:cs="华文楷体"/>
          <w:szCs w:val="30"/>
          <w:lang w:val="en-US" w:eastAsia="zh-CN"/>
        </w:rPr>
        <w:fldChar w:fldCharType="end"/>
      </w:r>
    </w:p>
    <w:p w14:paraId="0DE2F504">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_Toc9771 </w:instrText>
      </w:r>
      <w:r>
        <w:rPr>
          <w:rFonts w:hint="eastAsia" w:ascii="华文楷体" w:hAnsi="华文楷体" w:eastAsia="华文楷体" w:cs="华文楷体"/>
          <w:szCs w:val="30"/>
          <w:lang w:val="en-US" w:eastAsia="zh-CN"/>
        </w:rPr>
        <w:fldChar w:fldCharType="separate"/>
      </w:r>
      <w:r>
        <w:rPr>
          <w:rFonts w:hint="eastAsia"/>
          <w:lang w:val="en-US" w:eastAsia="zh-CN"/>
        </w:rPr>
        <w:t>表4：2024年九江市中职教育招生专业一览表</w:t>
      </w:r>
      <w:r>
        <w:tab/>
      </w:r>
      <w:r>
        <w:fldChar w:fldCharType="begin"/>
      </w:r>
      <w:r>
        <w:instrText xml:space="preserve"> PAGEREF _Toc9771 \h </w:instrText>
      </w:r>
      <w:r>
        <w:fldChar w:fldCharType="separate"/>
      </w:r>
      <w:r>
        <w:t>7</w:t>
      </w:r>
      <w:r>
        <w:fldChar w:fldCharType="end"/>
      </w:r>
      <w:r>
        <w:rPr>
          <w:rFonts w:hint="eastAsia" w:ascii="华文楷体" w:hAnsi="华文楷体" w:eastAsia="华文楷体" w:cs="华文楷体"/>
          <w:szCs w:val="30"/>
          <w:lang w:val="en-US" w:eastAsia="zh-CN"/>
        </w:rPr>
        <w:fldChar w:fldCharType="end"/>
      </w:r>
    </w:p>
    <w:p w14:paraId="56099343">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_Toc7780 </w:instrText>
      </w:r>
      <w:r>
        <w:rPr>
          <w:rFonts w:hint="eastAsia" w:ascii="华文楷体" w:hAnsi="华文楷体" w:eastAsia="华文楷体" w:cs="华文楷体"/>
          <w:szCs w:val="30"/>
          <w:lang w:val="en-US" w:eastAsia="zh-CN"/>
        </w:rPr>
        <w:fldChar w:fldCharType="separate"/>
      </w:r>
      <w:r>
        <w:rPr>
          <w:rFonts w:hint="eastAsia"/>
          <w:lang w:val="en-US" w:eastAsia="zh-CN"/>
        </w:rPr>
        <w:t>表5：满意度调查（综合）一览表</w:t>
      </w:r>
      <w:r>
        <w:tab/>
      </w:r>
      <w:r>
        <w:fldChar w:fldCharType="begin"/>
      </w:r>
      <w:r>
        <w:instrText xml:space="preserve"> PAGEREF _Toc7780 \h </w:instrText>
      </w:r>
      <w:r>
        <w:fldChar w:fldCharType="separate"/>
      </w:r>
      <w:r>
        <w:t>13</w:t>
      </w:r>
      <w:r>
        <w:fldChar w:fldCharType="end"/>
      </w:r>
      <w:r>
        <w:rPr>
          <w:rFonts w:hint="eastAsia" w:ascii="华文楷体" w:hAnsi="华文楷体" w:eastAsia="华文楷体" w:cs="华文楷体"/>
          <w:szCs w:val="30"/>
          <w:lang w:val="en-US" w:eastAsia="zh-CN"/>
        </w:rPr>
        <w:fldChar w:fldCharType="end"/>
      </w:r>
    </w:p>
    <w:p w14:paraId="6A2AE0CD">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_Toc5727 </w:instrText>
      </w:r>
      <w:r>
        <w:rPr>
          <w:rFonts w:hint="eastAsia" w:ascii="华文楷体" w:hAnsi="华文楷体" w:eastAsia="华文楷体" w:cs="华文楷体"/>
          <w:szCs w:val="30"/>
          <w:lang w:val="en-US" w:eastAsia="zh-CN"/>
        </w:rPr>
        <w:fldChar w:fldCharType="separate"/>
      </w:r>
      <w:r>
        <w:rPr>
          <w:rFonts w:hint="default"/>
          <w:lang w:val="en-US" w:eastAsia="zh-CN"/>
        </w:rPr>
        <w:t>表</w:t>
      </w:r>
      <w:r>
        <w:rPr>
          <w:rFonts w:hint="eastAsia"/>
          <w:lang w:val="en-US" w:eastAsia="zh-CN"/>
        </w:rPr>
        <w:t>6</w:t>
      </w:r>
      <w:r>
        <w:rPr>
          <w:rFonts w:hint="default"/>
          <w:lang w:val="en-US" w:eastAsia="zh-CN"/>
        </w:rPr>
        <w:t>：</w:t>
      </w:r>
      <w:r>
        <w:rPr>
          <w:rFonts w:hint="eastAsia"/>
          <w:lang w:val="en-US" w:eastAsia="zh-CN"/>
        </w:rPr>
        <w:t>中职毕业生</w:t>
      </w:r>
      <w:r>
        <w:rPr>
          <w:rFonts w:hint="default"/>
          <w:lang w:val="en-US" w:eastAsia="zh-CN"/>
        </w:rPr>
        <w:t>历年就业情况统计表</w:t>
      </w:r>
      <w:r>
        <w:tab/>
      </w:r>
      <w:r>
        <w:fldChar w:fldCharType="begin"/>
      </w:r>
      <w:r>
        <w:instrText xml:space="preserve"> PAGEREF _Toc5727 \h </w:instrText>
      </w:r>
      <w:r>
        <w:fldChar w:fldCharType="separate"/>
      </w:r>
      <w:r>
        <w:t>14</w:t>
      </w:r>
      <w:r>
        <w:fldChar w:fldCharType="end"/>
      </w:r>
      <w:r>
        <w:rPr>
          <w:rFonts w:hint="eastAsia" w:ascii="华文楷体" w:hAnsi="华文楷体" w:eastAsia="华文楷体" w:cs="华文楷体"/>
          <w:szCs w:val="30"/>
          <w:lang w:val="en-US" w:eastAsia="zh-CN"/>
        </w:rPr>
        <w:fldChar w:fldCharType="end"/>
      </w:r>
    </w:p>
    <w:p w14:paraId="314976E0">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_Toc8683 </w:instrText>
      </w:r>
      <w:r>
        <w:rPr>
          <w:rFonts w:hint="eastAsia" w:ascii="华文楷体" w:hAnsi="华文楷体" w:eastAsia="华文楷体" w:cs="华文楷体"/>
          <w:szCs w:val="30"/>
          <w:lang w:val="en-US" w:eastAsia="zh-CN"/>
        </w:rPr>
        <w:fldChar w:fldCharType="separate"/>
      </w:r>
      <w:r>
        <w:rPr>
          <w:rFonts w:hint="eastAsia"/>
          <w:lang w:val="en-US" w:eastAsia="zh-CN"/>
        </w:rPr>
        <w:t>表7：中职毕业生历年升学情况统计表</w:t>
      </w:r>
      <w:r>
        <w:tab/>
      </w:r>
      <w:r>
        <w:fldChar w:fldCharType="begin"/>
      </w:r>
      <w:r>
        <w:instrText xml:space="preserve"> PAGEREF _Toc8683 \h </w:instrText>
      </w:r>
      <w:r>
        <w:fldChar w:fldCharType="separate"/>
      </w:r>
      <w:r>
        <w:t>16</w:t>
      </w:r>
      <w:r>
        <w:fldChar w:fldCharType="end"/>
      </w:r>
      <w:r>
        <w:rPr>
          <w:rFonts w:hint="eastAsia" w:ascii="华文楷体" w:hAnsi="华文楷体" w:eastAsia="华文楷体" w:cs="华文楷体"/>
          <w:szCs w:val="30"/>
          <w:lang w:val="en-US" w:eastAsia="zh-CN"/>
        </w:rPr>
        <w:fldChar w:fldCharType="end"/>
      </w:r>
    </w:p>
    <w:p w14:paraId="3FAA226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_GB2312" w:hAnsi="楷体_GB2312" w:eastAsia="楷体_GB2312" w:cs="楷体_GB2312"/>
          <w:sz w:val="30"/>
          <w:szCs w:val="30"/>
          <w:lang w:val="en-US" w:eastAsia="zh-CN"/>
        </w:rPr>
      </w:pPr>
      <w:r>
        <w:rPr>
          <w:rFonts w:hint="eastAsia" w:ascii="华文楷体" w:hAnsi="华文楷体" w:eastAsia="华文楷体" w:cs="华文楷体"/>
          <w:szCs w:val="30"/>
          <w:lang w:val="en-US" w:eastAsia="zh-CN"/>
        </w:rPr>
        <w:fldChar w:fldCharType="end"/>
      </w:r>
    </w:p>
    <w:p w14:paraId="2151E392">
      <w:pPr>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br w:type="page"/>
      </w:r>
    </w:p>
    <w:p w14:paraId="10FB0310">
      <w:pPr>
        <w:pStyle w:val="10"/>
        <w:tabs>
          <w:tab w:val="right" w:leader="dot" w:pos="8306"/>
        </w:tabs>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图 目 录</w:t>
      </w:r>
    </w:p>
    <w:p w14:paraId="1D76014F">
      <w:pPr>
        <w:rPr>
          <w:rFonts w:hint="eastAsia"/>
          <w:lang w:val="en-US" w:eastAsia="zh-CN"/>
        </w:rPr>
      </w:pPr>
    </w:p>
    <w:p w14:paraId="3FB8463F">
      <w:pPr>
        <w:pStyle w:val="10"/>
        <w:tabs>
          <w:tab w:val="right" w:leader="dot" w:pos="8306"/>
        </w:tabs>
      </w:pPr>
      <w:r>
        <w:rPr>
          <w:rFonts w:hint="eastAsia" w:ascii="华文楷体" w:hAnsi="华文楷体" w:eastAsia="华文楷体" w:cs="华文楷体"/>
          <w:sz w:val="30"/>
          <w:szCs w:val="30"/>
          <w:lang w:val="en-US" w:eastAsia="zh-CN"/>
        </w:rPr>
        <w:fldChar w:fldCharType="begin"/>
      </w:r>
      <w:r>
        <w:rPr>
          <w:rFonts w:hint="eastAsia" w:ascii="华文楷体" w:hAnsi="华文楷体" w:eastAsia="华文楷体" w:cs="华文楷体"/>
          <w:sz w:val="30"/>
          <w:szCs w:val="30"/>
          <w:lang w:val="en-US" w:eastAsia="zh-CN"/>
        </w:rPr>
        <w:instrText xml:space="preserve">TOC \t "年报图片,1,标题 1,8" \h</w:instrText>
      </w:r>
      <w:r>
        <w:rPr>
          <w:rFonts w:hint="eastAsia" w:ascii="华文楷体" w:hAnsi="华文楷体" w:eastAsia="华文楷体" w:cs="华文楷体"/>
          <w:sz w:val="30"/>
          <w:szCs w:val="30"/>
          <w:lang w:val="en-US" w:eastAsia="zh-CN"/>
        </w:rPr>
        <w:fldChar w:fldCharType="separate"/>
      </w: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_Toc778 </w:instrText>
      </w:r>
      <w:r>
        <w:rPr>
          <w:rFonts w:hint="eastAsia" w:ascii="华文楷体" w:hAnsi="华文楷体" w:eastAsia="华文楷体" w:cs="华文楷体"/>
          <w:szCs w:val="30"/>
          <w:lang w:val="en-US" w:eastAsia="zh-CN"/>
        </w:rPr>
        <w:fldChar w:fldCharType="separate"/>
      </w:r>
      <w:r>
        <w:rPr>
          <w:rFonts w:hint="eastAsia"/>
          <w:lang w:val="en-US" w:eastAsia="zh-CN"/>
        </w:rPr>
        <w:t>图1：永修中专学校升旗仪式</w:t>
      </w:r>
      <w:r>
        <w:tab/>
      </w:r>
      <w:r>
        <w:fldChar w:fldCharType="begin"/>
      </w:r>
      <w:r>
        <w:instrText xml:space="preserve"> PAGEREF _Toc778 \h </w:instrText>
      </w:r>
      <w:r>
        <w:fldChar w:fldCharType="separate"/>
      </w:r>
      <w:r>
        <w:t>12</w:t>
      </w:r>
      <w:r>
        <w:fldChar w:fldCharType="end"/>
      </w:r>
      <w:r>
        <w:rPr>
          <w:rFonts w:hint="eastAsia" w:ascii="华文楷体" w:hAnsi="华文楷体" w:eastAsia="华文楷体" w:cs="华文楷体"/>
          <w:szCs w:val="30"/>
          <w:lang w:val="en-US" w:eastAsia="zh-CN"/>
        </w:rPr>
        <w:fldChar w:fldCharType="end"/>
      </w:r>
    </w:p>
    <w:p w14:paraId="3F1147ED">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_Toc30466 </w:instrText>
      </w:r>
      <w:r>
        <w:rPr>
          <w:rFonts w:hint="eastAsia" w:ascii="华文楷体" w:hAnsi="华文楷体" w:eastAsia="华文楷体" w:cs="华文楷体"/>
          <w:szCs w:val="30"/>
          <w:lang w:val="en-US" w:eastAsia="zh-CN"/>
        </w:rPr>
        <w:fldChar w:fldCharType="separate"/>
      </w:r>
      <w:r>
        <w:rPr>
          <w:rFonts w:hint="eastAsia"/>
          <w:lang w:val="en-US" w:eastAsia="zh-CN"/>
        </w:rPr>
        <w:t>图2：2024届中职毕业生面向三次产业就业人数比例</w:t>
      </w:r>
      <w:r>
        <w:tab/>
      </w:r>
      <w:r>
        <w:fldChar w:fldCharType="begin"/>
      </w:r>
      <w:r>
        <w:instrText xml:space="preserve"> PAGEREF _Toc30466 \h </w:instrText>
      </w:r>
      <w:r>
        <w:fldChar w:fldCharType="separate"/>
      </w:r>
      <w:r>
        <w:t>15</w:t>
      </w:r>
      <w:r>
        <w:fldChar w:fldCharType="end"/>
      </w:r>
      <w:r>
        <w:rPr>
          <w:rFonts w:hint="eastAsia" w:ascii="华文楷体" w:hAnsi="华文楷体" w:eastAsia="华文楷体" w:cs="华文楷体"/>
          <w:szCs w:val="30"/>
          <w:lang w:val="en-US" w:eastAsia="zh-CN"/>
        </w:rPr>
        <w:fldChar w:fldCharType="end"/>
      </w:r>
    </w:p>
    <w:p w14:paraId="0FFF38CE">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_Toc6614 </w:instrText>
      </w:r>
      <w:r>
        <w:rPr>
          <w:rFonts w:hint="eastAsia" w:ascii="华文楷体" w:hAnsi="华文楷体" w:eastAsia="华文楷体" w:cs="华文楷体"/>
          <w:szCs w:val="30"/>
          <w:lang w:val="en-US" w:eastAsia="zh-CN"/>
        </w:rPr>
        <w:fldChar w:fldCharType="separate"/>
      </w:r>
      <w:r>
        <w:rPr>
          <w:rFonts w:hint="eastAsia"/>
          <w:lang w:val="en-US" w:eastAsia="zh-CN"/>
        </w:rPr>
        <w:t>图3:九江理工学生正在技能大赛前实训</w:t>
      </w:r>
      <w:r>
        <w:tab/>
      </w:r>
      <w:r>
        <w:fldChar w:fldCharType="begin"/>
      </w:r>
      <w:r>
        <w:instrText xml:space="preserve"> PAGEREF _Toc6614 \h </w:instrText>
      </w:r>
      <w:r>
        <w:fldChar w:fldCharType="separate"/>
      </w:r>
      <w:r>
        <w:t>17</w:t>
      </w:r>
      <w:r>
        <w:fldChar w:fldCharType="end"/>
      </w:r>
      <w:r>
        <w:rPr>
          <w:rFonts w:hint="eastAsia" w:ascii="华文楷体" w:hAnsi="华文楷体" w:eastAsia="华文楷体" w:cs="华文楷体"/>
          <w:szCs w:val="30"/>
          <w:lang w:val="en-US" w:eastAsia="zh-CN"/>
        </w:rPr>
        <w:fldChar w:fldCharType="end"/>
      </w:r>
    </w:p>
    <w:p w14:paraId="79A72674">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_Toc24215 </w:instrText>
      </w:r>
      <w:r>
        <w:rPr>
          <w:rFonts w:hint="eastAsia" w:ascii="华文楷体" w:hAnsi="华文楷体" w:eastAsia="华文楷体" w:cs="华文楷体"/>
          <w:szCs w:val="30"/>
          <w:lang w:val="en-US" w:eastAsia="zh-CN"/>
        </w:rPr>
        <w:fldChar w:fldCharType="separate"/>
      </w:r>
      <w:r>
        <w:rPr>
          <w:rFonts w:hint="eastAsia"/>
          <w:lang w:val="en-US" w:eastAsia="zh-CN"/>
        </w:rPr>
        <w:t>图4：共青中医药庆祝国际护士节暨授帽仪式</w:t>
      </w:r>
      <w:r>
        <w:tab/>
      </w:r>
      <w:r>
        <w:fldChar w:fldCharType="begin"/>
      </w:r>
      <w:r>
        <w:instrText xml:space="preserve"> PAGEREF _Toc24215 \h </w:instrText>
      </w:r>
      <w:r>
        <w:fldChar w:fldCharType="separate"/>
      </w:r>
      <w:r>
        <w:t>23</w:t>
      </w:r>
      <w:r>
        <w:fldChar w:fldCharType="end"/>
      </w:r>
      <w:r>
        <w:rPr>
          <w:rFonts w:hint="eastAsia" w:ascii="华文楷体" w:hAnsi="华文楷体" w:eastAsia="华文楷体" w:cs="华文楷体"/>
          <w:szCs w:val="30"/>
          <w:lang w:val="en-US" w:eastAsia="zh-CN"/>
        </w:rPr>
        <w:fldChar w:fldCharType="end"/>
      </w:r>
    </w:p>
    <w:p w14:paraId="6DE2E486">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_Toc19531 </w:instrText>
      </w:r>
      <w:r>
        <w:rPr>
          <w:rFonts w:hint="eastAsia" w:ascii="华文楷体" w:hAnsi="华文楷体" w:eastAsia="华文楷体" w:cs="华文楷体"/>
          <w:szCs w:val="30"/>
          <w:lang w:val="en-US" w:eastAsia="zh-CN"/>
        </w:rPr>
        <w:fldChar w:fldCharType="separate"/>
      </w:r>
      <w:r>
        <w:rPr>
          <w:rFonts w:hint="eastAsia"/>
          <w:lang w:val="en-US" w:eastAsia="zh-CN"/>
        </w:rPr>
        <w:t>图5：彭泽中专国旗护卫队</w:t>
      </w:r>
      <w:r>
        <w:tab/>
      </w:r>
      <w:r>
        <w:fldChar w:fldCharType="begin"/>
      </w:r>
      <w:r>
        <w:instrText xml:space="preserve"> PAGEREF _Toc19531 \h </w:instrText>
      </w:r>
      <w:r>
        <w:fldChar w:fldCharType="separate"/>
      </w:r>
      <w:r>
        <w:t>25</w:t>
      </w:r>
      <w:r>
        <w:fldChar w:fldCharType="end"/>
      </w:r>
      <w:r>
        <w:rPr>
          <w:rFonts w:hint="eastAsia" w:ascii="华文楷体" w:hAnsi="华文楷体" w:eastAsia="华文楷体" w:cs="华文楷体"/>
          <w:szCs w:val="30"/>
          <w:lang w:val="en-US" w:eastAsia="zh-CN"/>
        </w:rPr>
        <w:fldChar w:fldCharType="end"/>
      </w:r>
    </w:p>
    <w:p w14:paraId="25A15367">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_Toc17460 </w:instrText>
      </w:r>
      <w:r>
        <w:rPr>
          <w:rFonts w:hint="eastAsia" w:ascii="华文楷体" w:hAnsi="华文楷体" w:eastAsia="华文楷体" w:cs="华文楷体"/>
          <w:szCs w:val="30"/>
          <w:lang w:val="en-US" w:eastAsia="zh-CN"/>
        </w:rPr>
        <w:fldChar w:fldCharType="separate"/>
      </w:r>
      <w:r>
        <w:rPr>
          <w:rFonts w:hint="eastAsia"/>
          <w:lang w:val="en-US" w:eastAsia="zh-CN"/>
        </w:rPr>
        <w:t>图6：德安中职小提琴社团第二课堂</w:t>
      </w:r>
      <w:r>
        <w:tab/>
      </w:r>
      <w:r>
        <w:fldChar w:fldCharType="begin"/>
      </w:r>
      <w:r>
        <w:instrText xml:space="preserve"> PAGEREF _Toc17460 \h </w:instrText>
      </w:r>
      <w:r>
        <w:fldChar w:fldCharType="separate"/>
      </w:r>
      <w:r>
        <w:t>27</w:t>
      </w:r>
      <w:r>
        <w:fldChar w:fldCharType="end"/>
      </w:r>
      <w:r>
        <w:rPr>
          <w:rFonts w:hint="eastAsia" w:ascii="华文楷体" w:hAnsi="华文楷体" w:eastAsia="华文楷体" w:cs="华文楷体"/>
          <w:szCs w:val="30"/>
          <w:lang w:val="en-US" w:eastAsia="zh-CN"/>
        </w:rPr>
        <w:fldChar w:fldCharType="end"/>
      </w:r>
    </w:p>
    <w:p w14:paraId="1D064DB6">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_Toc31382 </w:instrText>
      </w:r>
      <w:r>
        <w:rPr>
          <w:rFonts w:hint="eastAsia" w:ascii="华文楷体" w:hAnsi="华文楷体" w:eastAsia="华文楷体" w:cs="华文楷体"/>
          <w:szCs w:val="30"/>
          <w:lang w:val="en-US" w:eastAsia="zh-CN"/>
        </w:rPr>
        <w:fldChar w:fldCharType="separate"/>
      </w:r>
      <w:r>
        <w:rPr>
          <w:rFonts w:hint="eastAsia"/>
          <w:lang w:val="en-US" w:eastAsia="zh-CN"/>
        </w:rPr>
        <w:t>图7：彭泽中专开展武术操比赛</w:t>
      </w:r>
      <w:r>
        <w:tab/>
      </w:r>
      <w:r>
        <w:fldChar w:fldCharType="begin"/>
      </w:r>
      <w:r>
        <w:instrText xml:space="preserve"> PAGEREF _Toc31382 \h </w:instrText>
      </w:r>
      <w:r>
        <w:fldChar w:fldCharType="separate"/>
      </w:r>
      <w:r>
        <w:t>28</w:t>
      </w:r>
      <w:r>
        <w:fldChar w:fldCharType="end"/>
      </w:r>
      <w:r>
        <w:rPr>
          <w:rFonts w:hint="eastAsia" w:ascii="华文楷体" w:hAnsi="华文楷体" w:eastAsia="华文楷体" w:cs="华文楷体"/>
          <w:szCs w:val="30"/>
          <w:lang w:val="en-US" w:eastAsia="zh-CN"/>
        </w:rPr>
        <w:fldChar w:fldCharType="end"/>
      </w:r>
    </w:p>
    <w:p w14:paraId="552B27A5">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_Toc6539 </w:instrText>
      </w:r>
      <w:r>
        <w:rPr>
          <w:rFonts w:hint="eastAsia" w:ascii="华文楷体" w:hAnsi="华文楷体" w:eastAsia="华文楷体" w:cs="华文楷体"/>
          <w:szCs w:val="30"/>
          <w:lang w:val="en-US" w:eastAsia="zh-CN"/>
        </w:rPr>
        <w:fldChar w:fldCharType="separate"/>
      </w:r>
      <w:r>
        <w:rPr>
          <w:rFonts w:hint="eastAsia"/>
          <w:lang w:val="en-US" w:eastAsia="zh-CN"/>
        </w:rPr>
        <w:t>图8：修水韶华教职工实地考察修水县鸿泰模具有限公司</w:t>
      </w:r>
      <w:r>
        <w:tab/>
      </w:r>
      <w:r>
        <w:fldChar w:fldCharType="begin"/>
      </w:r>
      <w:r>
        <w:instrText xml:space="preserve"> PAGEREF _Toc6539 \h </w:instrText>
      </w:r>
      <w:r>
        <w:fldChar w:fldCharType="separate"/>
      </w:r>
      <w:r>
        <w:t>33</w:t>
      </w:r>
      <w:r>
        <w:fldChar w:fldCharType="end"/>
      </w:r>
      <w:r>
        <w:rPr>
          <w:rFonts w:hint="eastAsia" w:ascii="华文楷体" w:hAnsi="华文楷体" w:eastAsia="华文楷体" w:cs="华文楷体"/>
          <w:szCs w:val="30"/>
          <w:lang w:val="en-US" w:eastAsia="zh-CN"/>
        </w:rPr>
        <w:fldChar w:fldCharType="end"/>
      </w:r>
    </w:p>
    <w:p w14:paraId="0CFD06A7">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_Toc24844 </w:instrText>
      </w:r>
      <w:r>
        <w:rPr>
          <w:rFonts w:hint="eastAsia" w:ascii="华文楷体" w:hAnsi="华文楷体" w:eastAsia="华文楷体" w:cs="华文楷体"/>
          <w:szCs w:val="30"/>
          <w:lang w:val="en-US" w:eastAsia="zh-CN"/>
        </w:rPr>
        <w:fldChar w:fldCharType="separate"/>
      </w:r>
      <w:r>
        <w:rPr>
          <w:rFonts w:hint="eastAsia"/>
          <w:lang w:val="en-US" w:eastAsia="zh-CN"/>
        </w:rPr>
        <w:t>图9：九江卫校1+X母婴护理实操考核</w:t>
      </w:r>
      <w:r>
        <w:tab/>
      </w:r>
      <w:r>
        <w:fldChar w:fldCharType="begin"/>
      </w:r>
      <w:r>
        <w:instrText xml:space="preserve"> PAGEREF _Toc24844 \h </w:instrText>
      </w:r>
      <w:r>
        <w:fldChar w:fldCharType="separate"/>
      </w:r>
      <w:r>
        <w:t>35</w:t>
      </w:r>
      <w:r>
        <w:fldChar w:fldCharType="end"/>
      </w:r>
      <w:r>
        <w:rPr>
          <w:rFonts w:hint="eastAsia" w:ascii="华文楷体" w:hAnsi="华文楷体" w:eastAsia="华文楷体" w:cs="华文楷体"/>
          <w:szCs w:val="30"/>
          <w:lang w:val="en-US" w:eastAsia="zh-CN"/>
        </w:rPr>
        <w:fldChar w:fldCharType="end"/>
      </w:r>
    </w:p>
    <w:p w14:paraId="72FB6681">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_Toc7515 </w:instrText>
      </w:r>
      <w:r>
        <w:rPr>
          <w:rFonts w:hint="eastAsia" w:ascii="华文楷体" w:hAnsi="华文楷体" w:eastAsia="华文楷体" w:cs="华文楷体"/>
          <w:szCs w:val="30"/>
          <w:lang w:val="en-US" w:eastAsia="zh-CN"/>
        </w:rPr>
        <w:fldChar w:fldCharType="separate"/>
      </w:r>
      <w:r>
        <w:rPr>
          <w:rFonts w:hint="eastAsia"/>
          <w:lang w:val="en-US" w:eastAsia="zh-CN"/>
        </w:rPr>
        <w:t>图10：南昌铁路保安学校轨道实训基地</w:t>
      </w:r>
      <w:r>
        <w:tab/>
      </w:r>
      <w:r>
        <w:fldChar w:fldCharType="begin"/>
      </w:r>
      <w:r>
        <w:instrText xml:space="preserve"> PAGEREF _Toc7515 \h </w:instrText>
      </w:r>
      <w:r>
        <w:fldChar w:fldCharType="separate"/>
      </w:r>
      <w:r>
        <w:t>36</w:t>
      </w:r>
      <w:r>
        <w:fldChar w:fldCharType="end"/>
      </w:r>
      <w:r>
        <w:rPr>
          <w:rFonts w:hint="eastAsia" w:ascii="华文楷体" w:hAnsi="华文楷体" w:eastAsia="华文楷体" w:cs="华文楷体"/>
          <w:szCs w:val="30"/>
          <w:lang w:val="en-US" w:eastAsia="zh-CN"/>
        </w:rPr>
        <w:fldChar w:fldCharType="end"/>
      </w:r>
    </w:p>
    <w:p w14:paraId="7350055E">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_Toc28711 </w:instrText>
      </w:r>
      <w:r>
        <w:rPr>
          <w:rFonts w:hint="eastAsia" w:ascii="华文楷体" w:hAnsi="华文楷体" w:eastAsia="华文楷体" w:cs="华文楷体"/>
          <w:szCs w:val="30"/>
          <w:lang w:val="en-US" w:eastAsia="zh-CN"/>
        </w:rPr>
        <w:fldChar w:fldCharType="separate"/>
      </w:r>
      <w:r>
        <w:rPr>
          <w:rFonts w:hint="eastAsia"/>
          <w:lang w:val="en-US" w:eastAsia="zh-CN"/>
        </w:rPr>
        <w:t>图11：共青中医药专业实训室</w:t>
      </w:r>
      <w:r>
        <w:tab/>
      </w:r>
      <w:r>
        <w:fldChar w:fldCharType="begin"/>
      </w:r>
      <w:r>
        <w:instrText xml:space="preserve"> PAGEREF _Toc28711 \h </w:instrText>
      </w:r>
      <w:r>
        <w:fldChar w:fldCharType="separate"/>
      </w:r>
      <w:r>
        <w:t>37</w:t>
      </w:r>
      <w:r>
        <w:fldChar w:fldCharType="end"/>
      </w:r>
      <w:r>
        <w:rPr>
          <w:rFonts w:hint="eastAsia" w:ascii="华文楷体" w:hAnsi="华文楷体" w:eastAsia="华文楷体" w:cs="华文楷体"/>
          <w:szCs w:val="30"/>
          <w:lang w:val="en-US" w:eastAsia="zh-CN"/>
        </w:rPr>
        <w:fldChar w:fldCharType="end"/>
      </w:r>
    </w:p>
    <w:p w14:paraId="6ECA5EAB">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_Toc24584 </w:instrText>
      </w:r>
      <w:r>
        <w:rPr>
          <w:rFonts w:hint="eastAsia" w:ascii="华文楷体" w:hAnsi="华文楷体" w:eastAsia="华文楷体" w:cs="华文楷体"/>
          <w:szCs w:val="30"/>
          <w:lang w:val="en-US" w:eastAsia="zh-CN"/>
        </w:rPr>
        <w:fldChar w:fldCharType="separate"/>
      </w:r>
      <w:r>
        <w:rPr>
          <w:rFonts w:hint="eastAsia"/>
          <w:lang w:val="en-US" w:eastAsia="zh-CN"/>
        </w:rPr>
        <w:t>图12：九江理工开展主题党日活动</w:t>
      </w:r>
      <w:r>
        <w:tab/>
      </w:r>
      <w:r>
        <w:fldChar w:fldCharType="begin"/>
      </w:r>
      <w:r>
        <w:instrText xml:space="preserve"> PAGEREF _Toc24584 \h </w:instrText>
      </w:r>
      <w:r>
        <w:fldChar w:fldCharType="separate"/>
      </w:r>
      <w:r>
        <w:t>39</w:t>
      </w:r>
      <w:r>
        <w:fldChar w:fldCharType="end"/>
      </w:r>
      <w:r>
        <w:rPr>
          <w:rFonts w:hint="eastAsia" w:ascii="华文楷体" w:hAnsi="华文楷体" w:eastAsia="华文楷体" w:cs="华文楷体"/>
          <w:szCs w:val="30"/>
          <w:lang w:val="en-US" w:eastAsia="zh-CN"/>
        </w:rPr>
        <w:fldChar w:fldCharType="end"/>
      </w:r>
    </w:p>
    <w:p w14:paraId="1D7A4F01">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_Toc6472 </w:instrText>
      </w:r>
      <w:r>
        <w:rPr>
          <w:rFonts w:hint="eastAsia" w:ascii="华文楷体" w:hAnsi="华文楷体" w:eastAsia="华文楷体" w:cs="华文楷体"/>
          <w:szCs w:val="30"/>
          <w:lang w:val="en-US" w:eastAsia="zh-CN"/>
        </w:rPr>
        <w:fldChar w:fldCharType="separate"/>
      </w:r>
      <w:r>
        <w:rPr>
          <w:rFonts w:hint="eastAsia"/>
          <w:lang w:val="en-US" w:eastAsia="zh-CN"/>
        </w:rPr>
        <w:t>图13：永修中专开展家访工作</w:t>
      </w:r>
      <w:r>
        <w:tab/>
      </w:r>
      <w:r>
        <w:fldChar w:fldCharType="begin"/>
      </w:r>
      <w:r>
        <w:instrText xml:space="preserve"> PAGEREF _Toc6472 \h </w:instrText>
      </w:r>
      <w:r>
        <w:fldChar w:fldCharType="separate"/>
      </w:r>
      <w:r>
        <w:t>40</w:t>
      </w:r>
      <w:r>
        <w:fldChar w:fldCharType="end"/>
      </w:r>
      <w:r>
        <w:rPr>
          <w:rFonts w:hint="eastAsia" w:ascii="华文楷体" w:hAnsi="华文楷体" w:eastAsia="华文楷体" w:cs="华文楷体"/>
          <w:szCs w:val="30"/>
          <w:lang w:val="en-US" w:eastAsia="zh-CN"/>
        </w:rPr>
        <w:fldChar w:fldCharType="end"/>
      </w:r>
    </w:p>
    <w:p w14:paraId="4428C88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_GB2312" w:hAnsi="楷体_GB2312" w:eastAsia="楷体_GB2312" w:cs="楷体_GB2312"/>
          <w:sz w:val="30"/>
          <w:szCs w:val="30"/>
          <w:lang w:val="en-US" w:eastAsia="zh-CN"/>
        </w:rPr>
      </w:pPr>
      <w:r>
        <w:rPr>
          <w:rFonts w:hint="eastAsia" w:ascii="华文楷体" w:hAnsi="华文楷体" w:eastAsia="华文楷体" w:cs="华文楷体"/>
          <w:szCs w:val="30"/>
          <w:lang w:val="en-US" w:eastAsia="zh-CN"/>
        </w:rPr>
        <w:fldChar w:fldCharType="end"/>
      </w:r>
    </w:p>
    <w:p w14:paraId="75DD2767">
      <w:pPr>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br w:type="page"/>
      </w:r>
    </w:p>
    <w:p w14:paraId="407D624D">
      <w:pPr>
        <w:pStyle w:val="10"/>
        <w:tabs>
          <w:tab w:val="right" w:leader="dot" w:pos="8306"/>
        </w:tabs>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附 表 目 录</w:t>
      </w:r>
    </w:p>
    <w:p w14:paraId="7F33DFAF">
      <w:pPr>
        <w:rPr>
          <w:rFonts w:hint="eastAsia"/>
          <w:lang w:val="en-US" w:eastAsia="zh-CN"/>
        </w:rPr>
      </w:pPr>
    </w:p>
    <w:p w14:paraId="6235F168">
      <w:pPr>
        <w:pStyle w:val="10"/>
        <w:tabs>
          <w:tab w:val="right" w:leader="dot" w:pos="8306"/>
        </w:tabs>
      </w:pPr>
      <w:r>
        <w:rPr>
          <w:rFonts w:hint="eastAsia" w:ascii="华文楷体" w:hAnsi="华文楷体" w:eastAsia="华文楷体" w:cs="华文楷体"/>
          <w:sz w:val="30"/>
          <w:szCs w:val="30"/>
          <w:lang w:val="en-US" w:eastAsia="zh-CN"/>
        </w:rPr>
        <w:fldChar w:fldCharType="begin"/>
      </w:r>
      <w:r>
        <w:rPr>
          <w:rFonts w:hint="eastAsia" w:ascii="华文楷体" w:hAnsi="华文楷体" w:eastAsia="华文楷体" w:cs="华文楷体"/>
          <w:sz w:val="30"/>
          <w:szCs w:val="30"/>
          <w:lang w:val="en-US" w:eastAsia="zh-CN"/>
        </w:rPr>
        <w:instrText xml:space="preserve">TOC \t "年报附表,1,标题 1,5,标题 2,5,标题 3,5" \h</w:instrText>
      </w:r>
      <w:r>
        <w:rPr>
          <w:rFonts w:hint="eastAsia" w:ascii="华文楷体" w:hAnsi="华文楷体" w:eastAsia="华文楷体" w:cs="华文楷体"/>
          <w:sz w:val="30"/>
          <w:szCs w:val="30"/>
          <w:lang w:val="en-US" w:eastAsia="zh-CN"/>
        </w:rPr>
        <w:fldChar w:fldCharType="separate"/>
      </w: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_Toc11561 </w:instrText>
      </w:r>
      <w:r>
        <w:rPr>
          <w:rFonts w:hint="eastAsia" w:ascii="华文楷体" w:hAnsi="华文楷体" w:eastAsia="华文楷体" w:cs="华文楷体"/>
          <w:szCs w:val="30"/>
          <w:lang w:val="en-US" w:eastAsia="zh-CN"/>
        </w:rPr>
        <w:fldChar w:fldCharType="separate"/>
      </w:r>
      <w:r>
        <w:rPr>
          <w:rFonts w:hint="eastAsia"/>
          <w:lang w:val="en-US" w:eastAsia="zh-CN"/>
        </w:rPr>
        <w:t>附表1：人才培养质量计分卡</w:t>
      </w:r>
      <w:r>
        <w:tab/>
      </w:r>
      <w:r>
        <w:fldChar w:fldCharType="begin"/>
      </w:r>
      <w:r>
        <w:instrText xml:space="preserve"> PAGEREF _Toc11561 \h </w:instrText>
      </w:r>
      <w:r>
        <w:fldChar w:fldCharType="separate"/>
      </w:r>
      <w:r>
        <w:t>44</w:t>
      </w:r>
      <w:r>
        <w:fldChar w:fldCharType="end"/>
      </w:r>
      <w:r>
        <w:rPr>
          <w:rFonts w:hint="eastAsia" w:ascii="华文楷体" w:hAnsi="华文楷体" w:eastAsia="华文楷体" w:cs="华文楷体"/>
          <w:szCs w:val="30"/>
          <w:lang w:val="en-US" w:eastAsia="zh-CN"/>
        </w:rPr>
        <w:fldChar w:fldCharType="end"/>
      </w:r>
    </w:p>
    <w:p w14:paraId="6E7FD385">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_Toc17883 </w:instrText>
      </w:r>
      <w:r>
        <w:rPr>
          <w:rFonts w:hint="eastAsia" w:ascii="华文楷体" w:hAnsi="华文楷体" w:eastAsia="华文楷体" w:cs="华文楷体"/>
          <w:szCs w:val="30"/>
          <w:lang w:val="en-US" w:eastAsia="zh-CN"/>
        </w:rPr>
        <w:fldChar w:fldCharType="separate"/>
      </w:r>
      <w:r>
        <w:rPr>
          <w:rFonts w:hint="default"/>
          <w:lang w:val="en-US" w:eastAsia="zh-CN"/>
        </w:rPr>
        <w:t>附表</w:t>
      </w:r>
      <w:r>
        <w:rPr>
          <w:rFonts w:hint="eastAsia"/>
          <w:lang w:val="en-US" w:eastAsia="zh-CN"/>
        </w:rPr>
        <w:t>2</w:t>
      </w:r>
      <w:r>
        <w:rPr>
          <w:rFonts w:hint="default"/>
          <w:lang w:val="en-US" w:eastAsia="zh-CN"/>
        </w:rPr>
        <w:t>：满意度调查表</w:t>
      </w:r>
      <w:r>
        <w:tab/>
      </w:r>
      <w:r>
        <w:fldChar w:fldCharType="begin"/>
      </w:r>
      <w:r>
        <w:instrText xml:space="preserve"> PAGEREF _Toc17883 \h </w:instrText>
      </w:r>
      <w:r>
        <w:fldChar w:fldCharType="separate"/>
      </w:r>
      <w:r>
        <w:t>45</w:t>
      </w:r>
      <w:r>
        <w:fldChar w:fldCharType="end"/>
      </w:r>
      <w:r>
        <w:rPr>
          <w:rFonts w:hint="eastAsia" w:ascii="华文楷体" w:hAnsi="华文楷体" w:eastAsia="华文楷体" w:cs="华文楷体"/>
          <w:szCs w:val="30"/>
          <w:lang w:val="en-US" w:eastAsia="zh-CN"/>
        </w:rPr>
        <w:fldChar w:fldCharType="end"/>
      </w:r>
    </w:p>
    <w:p w14:paraId="2D740BDA">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_Toc25669 </w:instrText>
      </w:r>
      <w:r>
        <w:rPr>
          <w:rFonts w:hint="eastAsia" w:ascii="华文楷体" w:hAnsi="华文楷体" w:eastAsia="华文楷体" w:cs="华文楷体"/>
          <w:szCs w:val="30"/>
          <w:lang w:val="en-US" w:eastAsia="zh-CN"/>
        </w:rPr>
        <w:fldChar w:fldCharType="separate"/>
      </w:r>
      <w:r>
        <w:rPr>
          <w:rFonts w:hint="default"/>
          <w:lang w:val="en-US" w:eastAsia="zh-CN"/>
        </w:rPr>
        <w:t>附表</w:t>
      </w:r>
      <w:r>
        <w:rPr>
          <w:rFonts w:hint="eastAsia"/>
          <w:lang w:val="en-US" w:eastAsia="zh-CN"/>
        </w:rPr>
        <w:t>3</w:t>
      </w:r>
      <w:r>
        <w:rPr>
          <w:rFonts w:hint="default"/>
          <w:lang w:val="en-US" w:eastAsia="zh-CN"/>
        </w:rPr>
        <w:t>：教学资源表</w:t>
      </w:r>
      <w:r>
        <w:tab/>
      </w:r>
      <w:r>
        <w:fldChar w:fldCharType="begin"/>
      </w:r>
      <w:r>
        <w:instrText xml:space="preserve"> PAGEREF _Toc25669 \h </w:instrText>
      </w:r>
      <w:r>
        <w:fldChar w:fldCharType="separate"/>
      </w:r>
      <w:r>
        <w:t>46</w:t>
      </w:r>
      <w:r>
        <w:fldChar w:fldCharType="end"/>
      </w:r>
      <w:r>
        <w:rPr>
          <w:rFonts w:hint="eastAsia" w:ascii="华文楷体" w:hAnsi="华文楷体" w:eastAsia="华文楷体" w:cs="华文楷体"/>
          <w:szCs w:val="30"/>
          <w:lang w:val="en-US" w:eastAsia="zh-CN"/>
        </w:rPr>
        <w:fldChar w:fldCharType="end"/>
      </w:r>
    </w:p>
    <w:p w14:paraId="43E8A59A">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_Toc32378 </w:instrText>
      </w:r>
      <w:r>
        <w:rPr>
          <w:rFonts w:hint="eastAsia" w:ascii="华文楷体" w:hAnsi="华文楷体" w:eastAsia="华文楷体" w:cs="华文楷体"/>
          <w:szCs w:val="30"/>
          <w:lang w:val="en-US" w:eastAsia="zh-CN"/>
        </w:rPr>
        <w:fldChar w:fldCharType="separate"/>
      </w:r>
      <w:r>
        <w:rPr>
          <w:rFonts w:hint="default"/>
          <w:lang w:val="en-US" w:eastAsia="zh-CN"/>
        </w:rPr>
        <w:t>附表</w:t>
      </w:r>
      <w:r>
        <w:rPr>
          <w:rFonts w:hint="eastAsia"/>
          <w:lang w:val="en-US" w:eastAsia="zh-CN"/>
        </w:rPr>
        <w:t>4</w:t>
      </w:r>
      <w:r>
        <w:rPr>
          <w:rFonts w:hint="default"/>
          <w:lang w:val="en-US" w:eastAsia="zh-CN"/>
        </w:rPr>
        <w:t>：</w:t>
      </w:r>
      <w:r>
        <w:rPr>
          <w:rFonts w:hint="eastAsia"/>
          <w:lang w:val="en-US" w:eastAsia="zh-CN"/>
        </w:rPr>
        <w:t>服务贡献</w:t>
      </w:r>
      <w:r>
        <w:rPr>
          <w:rFonts w:hint="default"/>
          <w:lang w:val="en-US" w:eastAsia="zh-CN"/>
        </w:rPr>
        <w:t>表</w:t>
      </w:r>
      <w:r>
        <w:tab/>
      </w:r>
      <w:r>
        <w:fldChar w:fldCharType="begin"/>
      </w:r>
      <w:r>
        <w:instrText xml:space="preserve"> PAGEREF _Toc32378 \h </w:instrText>
      </w:r>
      <w:r>
        <w:fldChar w:fldCharType="separate"/>
      </w:r>
      <w:r>
        <w:t>47</w:t>
      </w:r>
      <w:r>
        <w:fldChar w:fldCharType="end"/>
      </w:r>
      <w:r>
        <w:rPr>
          <w:rFonts w:hint="eastAsia" w:ascii="华文楷体" w:hAnsi="华文楷体" w:eastAsia="华文楷体" w:cs="华文楷体"/>
          <w:szCs w:val="30"/>
          <w:lang w:val="en-US" w:eastAsia="zh-CN"/>
        </w:rPr>
        <w:fldChar w:fldCharType="end"/>
      </w:r>
    </w:p>
    <w:p w14:paraId="2F104675">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_Toc688 </w:instrText>
      </w:r>
      <w:r>
        <w:rPr>
          <w:rFonts w:hint="eastAsia" w:ascii="华文楷体" w:hAnsi="华文楷体" w:eastAsia="华文楷体" w:cs="华文楷体"/>
          <w:szCs w:val="30"/>
          <w:lang w:val="en-US" w:eastAsia="zh-CN"/>
        </w:rPr>
        <w:fldChar w:fldCharType="separate"/>
      </w:r>
      <w:r>
        <w:rPr>
          <w:rFonts w:hint="default"/>
          <w:lang w:val="en-US" w:eastAsia="zh-CN"/>
        </w:rPr>
        <w:t>附表</w:t>
      </w:r>
      <w:r>
        <w:rPr>
          <w:rFonts w:hint="eastAsia"/>
          <w:lang w:val="en-US" w:eastAsia="zh-CN"/>
        </w:rPr>
        <w:t>5</w:t>
      </w:r>
      <w:r>
        <w:rPr>
          <w:rFonts w:hint="default"/>
          <w:lang w:val="en-US" w:eastAsia="zh-CN"/>
        </w:rPr>
        <w:t>：</w:t>
      </w:r>
      <w:r>
        <w:rPr>
          <w:rFonts w:hint="eastAsia"/>
          <w:lang w:val="en-US" w:eastAsia="zh-CN"/>
        </w:rPr>
        <w:t>国际影响</w:t>
      </w:r>
      <w:r>
        <w:rPr>
          <w:rFonts w:hint="default"/>
          <w:lang w:val="en-US" w:eastAsia="zh-CN"/>
        </w:rPr>
        <w:t>表</w:t>
      </w:r>
      <w:r>
        <w:tab/>
      </w:r>
      <w:r>
        <w:fldChar w:fldCharType="begin"/>
      </w:r>
      <w:r>
        <w:instrText xml:space="preserve"> PAGEREF _Toc688 \h </w:instrText>
      </w:r>
      <w:r>
        <w:fldChar w:fldCharType="separate"/>
      </w:r>
      <w:r>
        <w:t>48</w:t>
      </w:r>
      <w:r>
        <w:fldChar w:fldCharType="end"/>
      </w:r>
      <w:r>
        <w:rPr>
          <w:rFonts w:hint="eastAsia" w:ascii="华文楷体" w:hAnsi="华文楷体" w:eastAsia="华文楷体" w:cs="华文楷体"/>
          <w:szCs w:val="30"/>
          <w:lang w:val="en-US" w:eastAsia="zh-CN"/>
        </w:rPr>
        <w:fldChar w:fldCharType="end"/>
      </w:r>
    </w:p>
    <w:p w14:paraId="3715B1FD">
      <w:pPr>
        <w:pStyle w:val="10"/>
        <w:tabs>
          <w:tab w:val="right" w:leader="dot" w:pos="8306"/>
        </w:tabs>
      </w:pPr>
      <w:r>
        <w:rPr>
          <w:rFonts w:hint="eastAsia" w:ascii="华文楷体" w:hAnsi="华文楷体" w:eastAsia="华文楷体" w:cs="华文楷体"/>
          <w:szCs w:val="30"/>
          <w:lang w:val="en-US" w:eastAsia="zh-CN"/>
        </w:rPr>
        <w:fldChar w:fldCharType="begin"/>
      </w:r>
      <w:r>
        <w:rPr>
          <w:rFonts w:hint="eastAsia" w:ascii="华文楷体" w:hAnsi="华文楷体" w:eastAsia="华文楷体" w:cs="华文楷体"/>
          <w:szCs w:val="30"/>
          <w:lang w:val="en-US" w:eastAsia="zh-CN"/>
        </w:rPr>
        <w:instrText xml:space="preserve"> HYPERLINK \l _Toc9210 </w:instrText>
      </w:r>
      <w:r>
        <w:rPr>
          <w:rFonts w:hint="eastAsia" w:ascii="华文楷体" w:hAnsi="华文楷体" w:eastAsia="华文楷体" w:cs="华文楷体"/>
          <w:szCs w:val="30"/>
          <w:lang w:val="en-US" w:eastAsia="zh-CN"/>
        </w:rPr>
        <w:fldChar w:fldCharType="separate"/>
      </w:r>
      <w:r>
        <w:rPr>
          <w:rFonts w:hint="default"/>
          <w:lang w:val="en-US" w:eastAsia="zh-CN"/>
        </w:rPr>
        <w:t>附表</w:t>
      </w:r>
      <w:r>
        <w:rPr>
          <w:rFonts w:hint="eastAsia"/>
          <w:lang w:val="en-US" w:eastAsia="zh-CN"/>
        </w:rPr>
        <w:t>6</w:t>
      </w:r>
      <w:r>
        <w:rPr>
          <w:rFonts w:hint="default"/>
          <w:lang w:val="en-US" w:eastAsia="zh-CN"/>
        </w:rPr>
        <w:t>：落实政策表</w:t>
      </w:r>
      <w:r>
        <w:tab/>
      </w:r>
      <w:r>
        <w:fldChar w:fldCharType="begin"/>
      </w:r>
      <w:r>
        <w:instrText xml:space="preserve"> PAGEREF _Toc9210 \h </w:instrText>
      </w:r>
      <w:r>
        <w:fldChar w:fldCharType="separate"/>
      </w:r>
      <w:r>
        <w:t>49</w:t>
      </w:r>
      <w:r>
        <w:fldChar w:fldCharType="end"/>
      </w:r>
      <w:r>
        <w:rPr>
          <w:rFonts w:hint="eastAsia" w:ascii="华文楷体" w:hAnsi="华文楷体" w:eastAsia="华文楷体" w:cs="华文楷体"/>
          <w:szCs w:val="30"/>
          <w:lang w:val="en-US" w:eastAsia="zh-CN"/>
        </w:rPr>
        <w:fldChar w:fldCharType="end"/>
      </w:r>
    </w:p>
    <w:p w14:paraId="54813F6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_GB2312" w:hAnsi="楷体_GB2312" w:eastAsia="楷体_GB2312" w:cs="楷体_GB2312"/>
          <w:sz w:val="30"/>
          <w:szCs w:val="30"/>
          <w:lang w:val="en-US" w:eastAsia="zh-CN"/>
        </w:rPr>
      </w:pPr>
      <w:r>
        <w:rPr>
          <w:rFonts w:hint="eastAsia" w:ascii="华文楷体" w:hAnsi="华文楷体" w:eastAsia="华文楷体" w:cs="华文楷体"/>
          <w:szCs w:val="30"/>
          <w:lang w:val="en-US" w:eastAsia="zh-CN"/>
        </w:rPr>
        <w:fldChar w:fldCharType="end"/>
      </w:r>
    </w:p>
    <w:p w14:paraId="612CCB6C">
      <w:pPr>
        <w:pStyle w:val="16"/>
        <w:bidi w:val="0"/>
        <w:ind w:left="0" w:leftChars="0" w:firstLine="0" w:firstLineChars="0"/>
        <w:jc w:val="center"/>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val="en-US" w:eastAsia="zh-CN"/>
        </w:rPr>
        <w:br w:type="page"/>
      </w:r>
      <w:bookmarkStart w:id="17" w:name="_Toc24804"/>
    </w:p>
    <w:p w14:paraId="52650348">
      <w:pPr>
        <w:pStyle w:val="16"/>
        <w:bidi w:val="0"/>
        <w:ind w:left="0" w:leftChars="0" w:firstLine="0" w:firstLineChars="0"/>
        <w:jc w:val="center"/>
        <w:rPr>
          <w:rFonts w:hint="eastAsia"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sz w:val="44"/>
          <w:szCs w:val="36"/>
          <w:lang w:val="en-US" w:eastAsia="zh-CN"/>
        </w:rPr>
        <w:t>前  言</w:t>
      </w:r>
    </w:p>
    <w:p w14:paraId="11A3266B">
      <w:pPr>
        <w:pStyle w:val="16"/>
        <w:bidi w:val="0"/>
        <w:rPr>
          <w:rFonts w:hint="default"/>
          <w:lang w:val="en-US" w:eastAsia="zh-CN"/>
        </w:rPr>
      </w:pPr>
      <w:r>
        <w:rPr>
          <w:rFonts w:hint="eastAsia"/>
          <w:lang w:val="en-US" w:eastAsia="zh-CN"/>
        </w:rPr>
        <w:t>2024年，</w:t>
      </w:r>
      <w:r>
        <w:rPr>
          <w:rFonts w:hint="default"/>
          <w:lang w:val="en-US" w:eastAsia="zh-CN"/>
        </w:rPr>
        <w:t>在市委、市政府的正确领导下，在省教育厅的指导关心下，</w:t>
      </w:r>
      <w:r>
        <w:rPr>
          <w:rFonts w:hint="eastAsia"/>
          <w:lang w:val="en-US" w:eastAsia="zh-CN"/>
        </w:rPr>
        <w:t>九江市教育系统深入学习贯彻</w:t>
      </w:r>
      <w:r>
        <w:rPr>
          <w:rFonts w:hint="default"/>
          <w:lang w:val="en-US" w:eastAsia="zh-CN"/>
        </w:rPr>
        <w:t>习近平总书记关于职业教育、产教融合重要讲话以及全国、全省以及全市教育大会精神，聚焦习近平总书记在江西考察时提出的“走在前、勇争先、善作为”目标要求，认真落实省委、省政府《江西省深化职业教育技工教育改革服务产业高质量发展的若干措施》，不断健全保障机制、完善办学体系、改革育人模式，全面提升了职业教育发展能力和服务水平，为我市经济社会发展提供了有力的技术技能人才支撑。</w:t>
      </w:r>
    </w:p>
    <w:p w14:paraId="090998B5">
      <w:pPr>
        <w:pStyle w:val="16"/>
        <w:bidi w:val="0"/>
        <w:rPr>
          <w:rFonts w:hint="default"/>
          <w:lang w:val="en-US" w:eastAsia="zh-CN"/>
        </w:rPr>
        <w:sectPr>
          <w:footerReference r:id="rId5" w:type="default"/>
          <w:pgSz w:w="11906" w:h="16838"/>
          <w:pgMar w:top="1440" w:right="1800" w:bottom="1440" w:left="1800" w:header="851" w:footer="992" w:gutter="0"/>
          <w:pgNumType w:fmt="decimal" w:start="1"/>
          <w:cols w:space="425" w:num="1"/>
          <w:docGrid w:type="lines" w:linePitch="312" w:charSpace="0"/>
        </w:sectPr>
      </w:pPr>
    </w:p>
    <w:p w14:paraId="200CD01F">
      <w:pPr>
        <w:pStyle w:val="16"/>
        <w:bidi w:val="0"/>
        <w:ind w:left="0" w:leftChars="0" w:firstLine="0" w:firstLineChars="0"/>
        <w:jc w:val="center"/>
        <w:rPr>
          <w:rFonts w:hint="eastAsia"/>
          <w:lang w:val="en-US" w:eastAsia="zh-CN"/>
        </w:rPr>
      </w:pPr>
      <w:r>
        <w:rPr>
          <w:rFonts w:hint="eastAsia" w:ascii="方正小标宋简体" w:hAnsi="方正小标宋简体" w:eastAsia="方正小标宋简体" w:cs="方正小标宋简体"/>
          <w:lang w:val="en-US" w:eastAsia="zh-CN"/>
        </w:rPr>
        <w:t>九江市2024年中等职业教育质量年度报告</w:t>
      </w:r>
    </w:p>
    <w:p w14:paraId="715531BA">
      <w:pPr>
        <w:pStyle w:val="16"/>
        <w:bidi w:val="0"/>
        <w:rPr>
          <w:rFonts w:hint="eastAsia"/>
          <w:lang w:val="en-US" w:eastAsia="zh-CN"/>
        </w:rPr>
      </w:pPr>
    </w:p>
    <w:p w14:paraId="02828041">
      <w:pPr>
        <w:pStyle w:val="15"/>
        <w:numPr>
          <w:ilvl w:val="0"/>
          <w:numId w:val="0"/>
        </w:numPr>
        <w:bidi w:val="0"/>
        <w:ind w:left="0" w:leftChars="0" w:firstLine="640" w:firstLineChars="200"/>
        <w:rPr>
          <w:rFonts w:hint="default"/>
          <w:lang w:val="en-US" w:eastAsia="zh-CN"/>
        </w:rPr>
      </w:pPr>
      <w:bookmarkStart w:id="18" w:name="_Toc28802"/>
      <w:bookmarkStart w:id="19" w:name="_Toc22525"/>
      <w:r>
        <w:rPr>
          <w:rFonts w:hint="eastAsia"/>
          <w:lang w:val="en-US" w:eastAsia="zh-CN"/>
        </w:rPr>
        <w:t>1 基本情况</w:t>
      </w:r>
      <w:bookmarkEnd w:id="18"/>
      <w:bookmarkEnd w:id="19"/>
    </w:p>
    <w:p w14:paraId="5843F39A">
      <w:pPr>
        <w:pStyle w:val="36"/>
        <w:bidi w:val="0"/>
        <w:rPr>
          <w:rFonts w:hint="eastAsia"/>
          <w:lang w:val="en-US" w:eastAsia="zh-CN"/>
        </w:rPr>
      </w:pPr>
      <w:bookmarkStart w:id="20" w:name="_Toc1831"/>
      <w:bookmarkStart w:id="21" w:name="_Toc24085"/>
      <w:r>
        <w:rPr>
          <w:rFonts w:hint="eastAsia"/>
          <w:lang w:val="en-US" w:eastAsia="zh-CN"/>
        </w:rPr>
        <w:t>1.1 规模和结构</w:t>
      </w:r>
      <w:bookmarkEnd w:id="20"/>
      <w:bookmarkEnd w:id="21"/>
    </w:p>
    <w:p w14:paraId="1041C00A">
      <w:pPr>
        <w:pStyle w:val="16"/>
        <w:rPr>
          <w:rFonts w:hint="default"/>
          <w:lang w:val="en-US" w:eastAsia="zh-CN"/>
        </w:rPr>
      </w:pPr>
      <w:r>
        <w:rPr>
          <w:rFonts w:hint="eastAsia"/>
          <w:lang w:val="en-US" w:eastAsia="zh-CN"/>
        </w:rPr>
        <w:t>截至</w:t>
      </w:r>
      <w:r>
        <w:rPr>
          <w:rFonts w:hint="default"/>
          <w:lang w:val="en-US" w:eastAsia="zh-CN"/>
        </w:rPr>
        <w:t>202</w:t>
      </w:r>
      <w:r>
        <w:rPr>
          <w:rFonts w:hint="eastAsia"/>
          <w:lang w:val="en-US" w:eastAsia="zh-CN"/>
        </w:rPr>
        <w:t>4</w:t>
      </w:r>
      <w:r>
        <w:rPr>
          <w:rFonts w:hint="default"/>
          <w:lang w:val="en-US" w:eastAsia="zh-CN"/>
        </w:rPr>
        <w:t>年</w:t>
      </w:r>
      <w:r>
        <w:rPr>
          <w:rFonts w:hint="eastAsia"/>
          <w:lang w:val="en-US" w:eastAsia="zh-CN"/>
        </w:rPr>
        <w:t>12月份</w:t>
      </w:r>
      <w:r>
        <w:rPr>
          <w:rFonts w:hint="default"/>
          <w:lang w:val="en-US" w:eastAsia="zh-CN"/>
        </w:rPr>
        <w:t>，我市教育系统共有招生资格</w:t>
      </w:r>
      <w:r>
        <w:rPr>
          <w:rFonts w:hint="eastAsia"/>
          <w:lang w:val="en-US" w:eastAsia="zh-CN"/>
        </w:rPr>
        <w:t>的中</w:t>
      </w:r>
      <w:r>
        <w:rPr>
          <w:rFonts w:hint="default"/>
          <w:lang w:val="en-US" w:eastAsia="zh-CN"/>
        </w:rPr>
        <w:t>等职业教育学校</w:t>
      </w:r>
      <w:r>
        <w:rPr>
          <w:rFonts w:hint="eastAsia"/>
          <w:lang w:val="en-US" w:eastAsia="zh-CN"/>
        </w:rPr>
        <w:t>20</w:t>
      </w:r>
      <w:r>
        <w:rPr>
          <w:rFonts w:hint="default"/>
          <w:lang w:val="en-US" w:eastAsia="zh-CN"/>
        </w:rPr>
        <w:t>所。其中公办学校 1</w:t>
      </w:r>
      <w:r>
        <w:rPr>
          <w:rFonts w:hint="eastAsia"/>
          <w:lang w:val="en-US" w:eastAsia="zh-CN"/>
        </w:rPr>
        <w:t>3</w:t>
      </w:r>
      <w:r>
        <w:rPr>
          <w:rFonts w:hint="default"/>
          <w:lang w:val="en-US" w:eastAsia="zh-CN"/>
        </w:rPr>
        <w:t xml:space="preserve"> 所，民办学校 </w:t>
      </w:r>
      <w:r>
        <w:rPr>
          <w:rFonts w:hint="eastAsia"/>
          <w:lang w:val="en-US" w:eastAsia="zh-CN"/>
        </w:rPr>
        <w:t>7</w:t>
      </w:r>
      <w:r>
        <w:rPr>
          <w:rFonts w:hint="default"/>
          <w:lang w:val="en-US" w:eastAsia="zh-CN"/>
        </w:rPr>
        <w:t xml:space="preserve"> 所；A档学校</w:t>
      </w:r>
      <w:r>
        <w:rPr>
          <w:rFonts w:hint="eastAsia"/>
          <w:lang w:val="en-US" w:eastAsia="zh-CN"/>
        </w:rPr>
        <w:t>3</w:t>
      </w:r>
      <w:r>
        <w:rPr>
          <w:rFonts w:hint="default"/>
          <w:lang w:val="en-US" w:eastAsia="zh-CN"/>
        </w:rPr>
        <w:t>所，B档学校</w:t>
      </w:r>
      <w:r>
        <w:rPr>
          <w:rFonts w:hint="eastAsia"/>
          <w:lang w:val="en-US" w:eastAsia="zh-CN"/>
        </w:rPr>
        <w:t>5</w:t>
      </w:r>
      <w:r>
        <w:rPr>
          <w:rFonts w:hint="default"/>
          <w:lang w:val="en-US" w:eastAsia="zh-CN"/>
        </w:rPr>
        <w:t>所，C档学校</w:t>
      </w:r>
      <w:r>
        <w:rPr>
          <w:rFonts w:hint="eastAsia"/>
          <w:lang w:val="en-US" w:eastAsia="zh-CN"/>
        </w:rPr>
        <w:t>9</w:t>
      </w:r>
      <w:r>
        <w:rPr>
          <w:rFonts w:hint="default"/>
          <w:lang w:val="en-US" w:eastAsia="zh-CN"/>
        </w:rPr>
        <w:t>所，C档以下</w:t>
      </w:r>
      <w:r>
        <w:rPr>
          <w:rFonts w:hint="eastAsia"/>
          <w:lang w:val="en-US" w:eastAsia="zh-CN"/>
        </w:rPr>
        <w:t>1</w:t>
      </w:r>
      <w:r>
        <w:rPr>
          <w:rFonts w:hint="default"/>
          <w:lang w:val="en-US" w:eastAsia="zh-CN"/>
        </w:rPr>
        <w:t>所</w:t>
      </w:r>
      <w:r>
        <w:rPr>
          <w:rFonts w:hint="eastAsia"/>
          <w:lang w:val="en-US" w:eastAsia="zh-CN"/>
        </w:rPr>
        <w:t>，新设立未参评学校2所</w:t>
      </w:r>
      <w:r>
        <w:rPr>
          <w:rFonts w:hint="default"/>
          <w:lang w:val="en-US" w:eastAsia="zh-CN"/>
        </w:rPr>
        <w:t>；国家改革发展示范学校</w:t>
      </w:r>
      <w:r>
        <w:rPr>
          <w:rFonts w:hint="eastAsia"/>
          <w:lang w:val="en-US" w:eastAsia="zh-CN"/>
        </w:rPr>
        <w:t>2</w:t>
      </w:r>
      <w:r>
        <w:rPr>
          <w:rFonts w:hint="default"/>
          <w:lang w:val="en-US" w:eastAsia="zh-CN"/>
        </w:rPr>
        <w:t>所，省高水平建设立项学校1所，普通中等专业学校9所。</w:t>
      </w:r>
      <w:r>
        <w:rPr>
          <w:rFonts w:hint="eastAsia"/>
          <w:lang w:val="en-US" w:eastAsia="zh-CN"/>
        </w:rPr>
        <w:t>九江市</w:t>
      </w:r>
      <w:r>
        <w:rPr>
          <w:rFonts w:hint="default"/>
          <w:lang w:val="en-US" w:eastAsia="zh-CN"/>
        </w:rPr>
        <w:t>另有技工学校</w:t>
      </w:r>
      <w:r>
        <w:rPr>
          <w:rFonts w:hint="eastAsia"/>
          <w:lang w:val="en-US" w:eastAsia="zh-CN"/>
        </w:rPr>
        <w:t>16</w:t>
      </w:r>
      <w:r>
        <w:rPr>
          <w:rFonts w:hint="default"/>
          <w:lang w:val="en-US" w:eastAsia="zh-CN"/>
        </w:rPr>
        <w:t>所</w:t>
      </w:r>
      <w:r>
        <w:rPr>
          <w:rFonts w:hint="eastAsia"/>
          <w:lang w:val="en-US" w:eastAsia="zh-CN"/>
        </w:rPr>
        <w:t>、</w:t>
      </w:r>
      <w:r>
        <w:rPr>
          <w:rFonts w:hint="default"/>
          <w:lang w:val="en-US" w:eastAsia="zh-CN"/>
        </w:rPr>
        <w:t>举办面向初中毕业生招生</w:t>
      </w:r>
      <w:r>
        <w:rPr>
          <w:rFonts w:hint="eastAsia"/>
          <w:lang w:val="en-US" w:eastAsia="zh-CN"/>
        </w:rPr>
        <w:t>的</w:t>
      </w:r>
      <w:r>
        <w:rPr>
          <w:rFonts w:hint="default"/>
          <w:lang w:val="en-US" w:eastAsia="zh-CN"/>
        </w:rPr>
        <w:t>长学制高职院校5所。</w:t>
      </w:r>
    </w:p>
    <w:p w14:paraId="5F4EE286">
      <w:pPr>
        <w:pStyle w:val="16"/>
        <w:rPr>
          <w:rFonts w:hint="default"/>
          <w:lang w:val="en-US" w:eastAsia="zh-CN"/>
        </w:rPr>
      </w:pPr>
    </w:p>
    <w:p w14:paraId="477F25B5">
      <w:pPr>
        <w:pStyle w:val="38"/>
        <w:bidi w:val="0"/>
        <w:rPr>
          <w:rFonts w:hint="default"/>
          <w:lang w:val="en-US" w:eastAsia="zh-CN"/>
        </w:rPr>
      </w:pPr>
      <w:bookmarkStart w:id="22" w:name="_Toc19921"/>
      <w:r>
        <w:rPr>
          <w:rFonts w:hint="default"/>
          <w:lang w:val="en-US" w:eastAsia="zh-CN"/>
        </w:rPr>
        <w:t>表1：九江市202</w:t>
      </w:r>
      <w:r>
        <w:rPr>
          <w:rFonts w:hint="eastAsia"/>
          <w:lang w:val="en-US" w:eastAsia="zh-CN"/>
        </w:rPr>
        <w:t>4</w:t>
      </w:r>
      <w:r>
        <w:rPr>
          <w:rFonts w:hint="default"/>
          <w:lang w:val="en-US" w:eastAsia="zh-CN"/>
        </w:rPr>
        <w:t>年具有招生资质中等职业学校名单</w:t>
      </w:r>
      <w:bookmarkEnd w:id="22"/>
    </w:p>
    <w:tbl>
      <w:tblPr>
        <w:tblStyle w:val="13"/>
        <w:tblW w:w="87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0"/>
        <w:gridCol w:w="3576"/>
        <w:gridCol w:w="4716"/>
      </w:tblGrid>
      <w:tr w14:paraId="54D9D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10" w:type="dxa"/>
            <w:tcBorders>
              <w:top w:val="nil"/>
              <w:left w:val="nil"/>
              <w:bottom w:val="single" w:color="FFFFFF" w:sz="12" w:space="0"/>
              <w:right w:val="single" w:color="FFFFFF" w:sz="4" w:space="0"/>
            </w:tcBorders>
            <w:shd w:val="clear" w:color="4874CB" w:fill="4874CB"/>
            <w:noWrap/>
            <w:vAlign w:val="center"/>
          </w:tcPr>
          <w:p w14:paraId="27A8D0A8">
            <w:pPr>
              <w:keepNext w:val="0"/>
              <w:keepLines w:val="0"/>
              <w:widowControl/>
              <w:suppressLineNumbers w:val="0"/>
              <w:jc w:val="left"/>
              <w:textAlignment w:val="center"/>
              <w:rPr>
                <w:rFonts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序号</w:t>
            </w:r>
          </w:p>
        </w:tc>
        <w:tc>
          <w:tcPr>
            <w:tcW w:w="3555" w:type="dxa"/>
            <w:tcBorders>
              <w:top w:val="nil"/>
              <w:left w:val="single" w:color="FFFFFF" w:sz="4" w:space="0"/>
              <w:bottom w:val="single" w:color="FFFFFF" w:sz="12" w:space="0"/>
              <w:right w:val="single" w:color="FFFFFF" w:sz="4" w:space="0"/>
            </w:tcBorders>
            <w:shd w:val="clear" w:color="4874CB" w:fill="4874CB"/>
            <w:noWrap/>
            <w:vAlign w:val="center"/>
          </w:tcPr>
          <w:p w14:paraId="69A09DE9">
            <w:pPr>
              <w:keepNext w:val="0"/>
              <w:keepLines w:val="0"/>
              <w:widowControl/>
              <w:suppressLineNumbers w:val="0"/>
              <w:jc w:val="left"/>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学校名称</w:t>
            </w:r>
          </w:p>
        </w:tc>
        <w:tc>
          <w:tcPr>
            <w:tcW w:w="4695" w:type="dxa"/>
            <w:tcBorders>
              <w:top w:val="nil"/>
              <w:left w:val="single" w:color="FFFFFF" w:sz="4" w:space="0"/>
              <w:bottom w:val="single" w:color="FFFFFF" w:sz="12" w:space="0"/>
              <w:right w:val="nil"/>
            </w:tcBorders>
            <w:shd w:val="clear" w:color="4874CB" w:fill="4874CB"/>
            <w:noWrap/>
            <w:vAlign w:val="center"/>
          </w:tcPr>
          <w:p w14:paraId="6A008975">
            <w:pPr>
              <w:keepNext w:val="0"/>
              <w:keepLines w:val="0"/>
              <w:widowControl/>
              <w:suppressLineNumbers w:val="0"/>
              <w:jc w:val="left"/>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学校类别</w:t>
            </w:r>
          </w:p>
        </w:tc>
      </w:tr>
      <w:tr w14:paraId="69C41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FFFFFF" w:sz="12" w:space="0"/>
              <w:left w:val="nil"/>
              <w:bottom w:val="single" w:color="FFFFFF" w:sz="4" w:space="0"/>
              <w:right w:val="single" w:color="FFFFFF" w:sz="4" w:space="0"/>
            </w:tcBorders>
            <w:shd w:val="clear" w:color="B5C6EA" w:fill="B5C6EA"/>
            <w:noWrap/>
            <w:vAlign w:val="center"/>
          </w:tcPr>
          <w:p w14:paraId="1D9DCBF1">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7010483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江西九江科技中等专业学校</w:t>
            </w:r>
          </w:p>
        </w:tc>
        <w:tc>
          <w:tcPr>
            <w:tcW w:w="0" w:type="auto"/>
            <w:tcBorders>
              <w:top w:val="single" w:color="FFFFFF" w:sz="12" w:space="0"/>
              <w:left w:val="single" w:color="FFFFFF" w:sz="4" w:space="0"/>
              <w:bottom w:val="single" w:color="FFFFFF" w:sz="4" w:space="0"/>
              <w:right w:val="nil"/>
            </w:tcBorders>
            <w:shd w:val="clear" w:color="B5C6EA" w:fill="B5C6EA"/>
            <w:noWrap/>
            <w:vAlign w:val="center"/>
          </w:tcPr>
          <w:p w14:paraId="30C8C36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公办学校、国家改革发展示范校、A档学校</w:t>
            </w:r>
          </w:p>
        </w:tc>
      </w:tr>
      <w:tr w14:paraId="7E20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4142328">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B626A6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修水中等专业学校</w:t>
            </w:r>
          </w:p>
        </w:tc>
        <w:tc>
          <w:tcPr>
            <w:tcW w:w="4695" w:type="dxa"/>
            <w:tcBorders>
              <w:top w:val="single" w:color="FFFFFF" w:sz="4" w:space="0"/>
              <w:left w:val="single" w:color="FFFFFF" w:sz="4" w:space="0"/>
              <w:bottom w:val="single" w:color="FFFFFF" w:sz="4" w:space="0"/>
              <w:right w:val="nil"/>
            </w:tcBorders>
            <w:shd w:val="clear" w:color="D9E1F4" w:fill="D9E1F4"/>
            <w:vAlign w:val="center"/>
          </w:tcPr>
          <w:p w14:paraId="1597C97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公办学校、国家改革发展示范校、A档学校、江西省高水平建设立项单位</w:t>
            </w:r>
          </w:p>
        </w:tc>
      </w:tr>
      <w:tr w14:paraId="00E55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763D4C36">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A21568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彭泽县旅游工业中等专业学校</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2E0EF0C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公办学校、A档学校、普通中专</w:t>
            </w:r>
          </w:p>
        </w:tc>
      </w:tr>
      <w:tr w14:paraId="69113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BFE349A">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56EA62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九江市卫生学校</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2F85AB7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公办学校、B档学校、普通中专</w:t>
            </w:r>
          </w:p>
        </w:tc>
      </w:tr>
      <w:tr w14:paraId="0D458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1000B1B1">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EF46D0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武宁中等专业学校</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56D33B4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公办学校、B档学校、普通中专</w:t>
            </w:r>
          </w:p>
        </w:tc>
      </w:tr>
      <w:tr w14:paraId="7DBBE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70E125C">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B9C1BF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都昌中等专业学校</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F020CA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公办学校、B档学校、普通中专</w:t>
            </w:r>
          </w:p>
        </w:tc>
      </w:tr>
      <w:tr w14:paraId="3F7C3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B96432F">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CA18C4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瑞昌中等专业学校</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4388324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公办学校、B档学校、普通中专</w:t>
            </w:r>
          </w:p>
        </w:tc>
      </w:tr>
      <w:tr w14:paraId="18ACB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41ED44DD">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D5C191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永修中等专业学校</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14C828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公办学校、C档学校、普通中专</w:t>
            </w:r>
          </w:p>
        </w:tc>
      </w:tr>
      <w:tr w14:paraId="35A5B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795B09D0">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5219F2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德安县中等职业技术学校</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28F26FA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公办学校、C档学校、职业高中</w:t>
            </w:r>
          </w:p>
        </w:tc>
      </w:tr>
      <w:tr w14:paraId="16BEC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9CD30C9">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339EB7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湖口县中等职业技术学校</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77815EB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公办学校、C档学校、职业高中</w:t>
            </w:r>
          </w:p>
        </w:tc>
      </w:tr>
      <w:tr w14:paraId="0D201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2AB37338">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EC2EEB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九江市柴桑区中等职业技术学校</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7114E79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公办学校、C档学校、职业高中</w:t>
            </w:r>
          </w:p>
        </w:tc>
      </w:tr>
      <w:tr w14:paraId="3E34D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350CF043">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AE31D3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共青城市职业高中</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39FCBAC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公办学校、职业高中、2024年新设</w:t>
            </w:r>
          </w:p>
        </w:tc>
      </w:tr>
      <w:tr w14:paraId="7A37F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4EEA777F">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3781E8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江西省庐山旅游职业高级中学</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13C6803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公办学校、职业高中</w:t>
            </w:r>
          </w:p>
        </w:tc>
      </w:tr>
      <w:tr w14:paraId="4816C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F8549A1">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29B8F9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九江华东电子信息学校</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F10C2E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民办学校、B档学校、职业高中</w:t>
            </w:r>
          </w:p>
        </w:tc>
      </w:tr>
      <w:tr w14:paraId="60569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0D3C50C3">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9F7AF0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南昌铁路保安中等专业学校</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41F50FF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民办学校、C档学校、普通中专</w:t>
            </w:r>
          </w:p>
        </w:tc>
      </w:tr>
      <w:tr w14:paraId="54A03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6F3BEDD">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AA2B92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九江市理工职业技术学校</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398763B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民办学校、C档学校、职业高中</w:t>
            </w:r>
          </w:p>
        </w:tc>
      </w:tr>
      <w:tr w14:paraId="5A4AC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603C8F18">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69689D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九江庐山西海艺术学校</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5EE155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民办学校、C档学校、职业高中</w:t>
            </w:r>
          </w:p>
        </w:tc>
      </w:tr>
      <w:tr w14:paraId="30E3F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3954778F">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B1053E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共青中医药学校</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038215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民办学校、C档学校、职业高中</w:t>
            </w:r>
          </w:p>
        </w:tc>
      </w:tr>
      <w:tr w14:paraId="37CE6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B0DA8C1">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36E6FB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九江赣北电子工业学校</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79D71F5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民办学校、C档学校、职业高中</w:t>
            </w:r>
          </w:p>
        </w:tc>
      </w:tr>
      <w:tr w14:paraId="74B98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nil"/>
              <w:right w:val="single" w:color="FFFFFF" w:sz="4" w:space="0"/>
            </w:tcBorders>
            <w:shd w:val="clear" w:color="D9E1F4" w:fill="D9E1F4"/>
            <w:noWrap/>
            <w:vAlign w:val="center"/>
          </w:tcPr>
          <w:p w14:paraId="7D61AB78">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w:t>
            </w:r>
          </w:p>
        </w:tc>
        <w:tc>
          <w:tcPr>
            <w:tcW w:w="0" w:type="auto"/>
            <w:tcBorders>
              <w:top w:val="single" w:color="FFFFFF" w:sz="4" w:space="0"/>
              <w:left w:val="single" w:color="FFFFFF" w:sz="4" w:space="0"/>
              <w:bottom w:val="nil"/>
              <w:right w:val="single" w:color="FFFFFF" w:sz="4" w:space="0"/>
            </w:tcBorders>
            <w:shd w:val="clear" w:color="D9E1F4" w:fill="D9E1F4"/>
            <w:noWrap/>
            <w:vAlign w:val="center"/>
          </w:tcPr>
          <w:p w14:paraId="6919DF9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九江市韶华职业高中</w:t>
            </w:r>
          </w:p>
        </w:tc>
        <w:tc>
          <w:tcPr>
            <w:tcW w:w="0" w:type="auto"/>
            <w:tcBorders>
              <w:top w:val="single" w:color="FFFFFF" w:sz="4" w:space="0"/>
              <w:left w:val="single" w:color="FFFFFF" w:sz="4" w:space="0"/>
              <w:bottom w:val="nil"/>
              <w:right w:val="nil"/>
            </w:tcBorders>
            <w:shd w:val="clear" w:color="D9E1F4" w:fill="D9E1F4"/>
            <w:noWrap/>
            <w:vAlign w:val="center"/>
          </w:tcPr>
          <w:p w14:paraId="35C899F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民办学校、职业高中</w:t>
            </w:r>
          </w:p>
        </w:tc>
      </w:tr>
    </w:tbl>
    <w:p w14:paraId="3B453F14">
      <w:pPr>
        <w:pStyle w:val="16"/>
        <w:bidi w:val="0"/>
        <w:rPr>
          <w:rFonts w:hint="default"/>
          <w:lang w:val="en-US" w:eastAsia="zh-CN"/>
        </w:rPr>
      </w:pPr>
    </w:p>
    <w:p w14:paraId="77EE1634">
      <w:pPr>
        <w:pStyle w:val="16"/>
        <w:bidi w:val="0"/>
        <w:rPr>
          <w:rFonts w:hint="default"/>
          <w:lang w:val="en-US" w:eastAsia="zh-CN"/>
        </w:rPr>
      </w:pPr>
      <w:r>
        <w:rPr>
          <w:rFonts w:hint="default"/>
          <w:lang w:val="en-US" w:eastAsia="zh-CN"/>
        </w:rPr>
        <w:t>截至20</w:t>
      </w:r>
      <w:r>
        <w:rPr>
          <w:rFonts w:hint="eastAsia"/>
          <w:lang w:val="en-US" w:eastAsia="zh-CN"/>
        </w:rPr>
        <w:t>24</w:t>
      </w:r>
      <w:r>
        <w:rPr>
          <w:rFonts w:hint="default"/>
          <w:lang w:val="en-US" w:eastAsia="zh-CN"/>
        </w:rPr>
        <w:t>年底，全市中等职业教育在籍在校生共有</w:t>
      </w:r>
      <w:r>
        <w:rPr>
          <w:rFonts w:hint="eastAsia"/>
          <w:lang w:val="en-US" w:eastAsia="zh-CN"/>
        </w:rPr>
        <w:t>63125</w:t>
      </w:r>
      <w:r>
        <w:rPr>
          <w:rFonts w:hint="default"/>
          <w:lang w:val="en-US" w:eastAsia="zh-CN"/>
        </w:rPr>
        <w:t>人，其中，中等职业学校在校生</w:t>
      </w:r>
      <w:r>
        <w:rPr>
          <w:rFonts w:hint="eastAsia"/>
          <w:lang w:val="en-US" w:eastAsia="zh-CN"/>
        </w:rPr>
        <w:t>37523</w:t>
      </w:r>
      <w:r>
        <w:rPr>
          <w:rFonts w:hint="default"/>
          <w:lang w:val="en-US" w:eastAsia="zh-CN"/>
        </w:rPr>
        <w:t>人，技工学校在校生</w:t>
      </w:r>
      <w:r>
        <w:rPr>
          <w:rFonts w:hint="eastAsia"/>
          <w:lang w:val="en-US" w:eastAsia="zh-CN"/>
        </w:rPr>
        <w:t>21657</w:t>
      </w:r>
      <w:r>
        <w:rPr>
          <w:rFonts w:hint="default"/>
          <w:lang w:val="en-US" w:eastAsia="zh-CN"/>
        </w:rPr>
        <w:t>人，驻市高职院校长学制</w:t>
      </w:r>
      <w:r>
        <w:rPr>
          <w:rFonts w:hint="eastAsia"/>
          <w:lang w:val="en-US" w:eastAsia="zh-CN"/>
        </w:rPr>
        <w:t>中职阶段</w:t>
      </w:r>
      <w:r>
        <w:rPr>
          <w:rFonts w:hint="default"/>
          <w:lang w:val="en-US" w:eastAsia="zh-CN"/>
        </w:rPr>
        <w:t>在校生</w:t>
      </w:r>
      <w:r>
        <w:rPr>
          <w:rFonts w:hint="eastAsia"/>
          <w:lang w:val="en-US" w:eastAsia="zh-CN"/>
        </w:rPr>
        <w:t>3945</w:t>
      </w:r>
      <w:r>
        <w:rPr>
          <w:rFonts w:hint="default"/>
          <w:lang w:val="en-US" w:eastAsia="zh-CN"/>
        </w:rPr>
        <w:t>人。202</w:t>
      </w:r>
      <w:r>
        <w:rPr>
          <w:rFonts w:hint="eastAsia"/>
          <w:lang w:val="en-US" w:eastAsia="zh-CN"/>
        </w:rPr>
        <w:t>4</w:t>
      </w:r>
      <w:r>
        <w:rPr>
          <w:rFonts w:hint="default"/>
          <w:lang w:val="en-US" w:eastAsia="zh-CN"/>
        </w:rPr>
        <w:t>年全市普通高中学生共计</w:t>
      </w:r>
      <w:r>
        <w:rPr>
          <w:rFonts w:hint="eastAsia"/>
          <w:lang w:val="en-US" w:eastAsia="zh-CN"/>
        </w:rPr>
        <w:t>125794</w:t>
      </w:r>
      <w:r>
        <w:rPr>
          <w:rFonts w:hint="default"/>
          <w:lang w:val="en-US" w:eastAsia="zh-CN"/>
        </w:rPr>
        <w:t>人，在校生普职比为</w:t>
      </w:r>
      <w:r>
        <w:rPr>
          <w:rFonts w:hint="eastAsia"/>
          <w:lang w:val="en-US" w:eastAsia="zh-CN"/>
        </w:rPr>
        <w:t>66.5:33.5</w:t>
      </w:r>
      <w:r>
        <w:rPr>
          <w:rFonts w:hint="default"/>
          <w:lang w:val="en-US" w:eastAsia="zh-CN"/>
        </w:rPr>
        <w:t>。</w:t>
      </w:r>
    </w:p>
    <w:p w14:paraId="04A038CC">
      <w:pPr>
        <w:pStyle w:val="16"/>
        <w:bidi w:val="0"/>
        <w:rPr>
          <w:rFonts w:hint="default"/>
          <w:lang w:val="en-US" w:eastAsia="zh-CN"/>
        </w:rPr>
      </w:pPr>
    </w:p>
    <w:p w14:paraId="75E67141">
      <w:pPr>
        <w:pStyle w:val="38"/>
        <w:bidi w:val="0"/>
        <w:rPr>
          <w:rFonts w:hint="default"/>
          <w:lang w:val="en-US" w:eastAsia="zh-CN"/>
        </w:rPr>
      </w:pPr>
      <w:bookmarkStart w:id="23" w:name="_Toc24201"/>
      <w:r>
        <w:rPr>
          <w:rFonts w:hint="default"/>
          <w:lang w:val="en-US" w:eastAsia="zh-CN"/>
        </w:rPr>
        <w:t>表2：全市各类学校中职阶段教育在校生情况一览表</w:t>
      </w:r>
      <w:bookmarkEnd w:id="23"/>
    </w:p>
    <w:tbl>
      <w:tblPr>
        <w:tblStyle w:val="13"/>
        <w:tblW w:w="87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3576"/>
        <w:gridCol w:w="1520"/>
        <w:gridCol w:w="1400"/>
        <w:gridCol w:w="1720"/>
      </w:tblGrid>
      <w:tr w14:paraId="0D228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jc w:val="center"/>
        </w:trPr>
        <w:tc>
          <w:tcPr>
            <w:tcW w:w="960" w:type="dxa"/>
            <w:tcBorders>
              <w:top w:val="nil"/>
              <w:left w:val="nil"/>
              <w:bottom w:val="single" w:color="FFFFFF" w:sz="12" w:space="0"/>
              <w:right w:val="single" w:color="FFFFFF" w:sz="4" w:space="0"/>
            </w:tcBorders>
            <w:shd w:val="clear" w:color="4874CB" w:fill="4874CB"/>
            <w:noWrap/>
            <w:vAlign w:val="center"/>
          </w:tcPr>
          <w:p w14:paraId="0793A2E9">
            <w:pPr>
              <w:keepNext w:val="0"/>
              <w:keepLines w:val="0"/>
              <w:widowControl/>
              <w:suppressLineNumbers w:val="0"/>
              <w:jc w:val="center"/>
              <w:textAlignment w:val="center"/>
              <w:rPr>
                <w:rFonts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序号</w:t>
            </w:r>
          </w:p>
        </w:tc>
        <w:tc>
          <w:tcPr>
            <w:tcW w:w="3179" w:type="dxa"/>
            <w:tcBorders>
              <w:top w:val="nil"/>
              <w:left w:val="single" w:color="FFFFFF" w:sz="4" w:space="0"/>
              <w:bottom w:val="single" w:color="FFFFFF" w:sz="12" w:space="0"/>
              <w:right w:val="single" w:color="FFFFFF" w:sz="4" w:space="0"/>
            </w:tcBorders>
            <w:shd w:val="clear" w:color="4874CB" w:fill="4874CB"/>
            <w:noWrap/>
            <w:vAlign w:val="center"/>
          </w:tcPr>
          <w:p w14:paraId="3E279769">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学校</w:t>
            </w:r>
          </w:p>
        </w:tc>
        <w:tc>
          <w:tcPr>
            <w:tcW w:w="1520" w:type="dxa"/>
            <w:tcBorders>
              <w:top w:val="nil"/>
              <w:left w:val="single" w:color="FFFFFF" w:sz="4" w:space="0"/>
              <w:bottom w:val="single" w:color="FFFFFF" w:sz="12" w:space="0"/>
              <w:right w:val="single" w:color="FFFFFF" w:sz="4" w:space="0"/>
            </w:tcBorders>
            <w:shd w:val="clear" w:color="4874CB" w:fill="4874CB"/>
            <w:noWrap/>
            <w:vAlign w:val="center"/>
          </w:tcPr>
          <w:p w14:paraId="7A79207D">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学校类别</w:t>
            </w:r>
          </w:p>
        </w:tc>
        <w:tc>
          <w:tcPr>
            <w:tcW w:w="1400" w:type="dxa"/>
            <w:tcBorders>
              <w:top w:val="nil"/>
              <w:left w:val="single" w:color="FFFFFF" w:sz="4" w:space="0"/>
              <w:bottom w:val="single" w:color="FFFFFF" w:sz="12" w:space="0"/>
              <w:right w:val="single" w:color="FFFFFF" w:sz="4" w:space="0"/>
            </w:tcBorders>
            <w:shd w:val="clear" w:color="4874CB" w:fill="4874CB"/>
            <w:noWrap/>
            <w:vAlign w:val="center"/>
          </w:tcPr>
          <w:p w14:paraId="40CCBE63">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2024年新生</w:t>
            </w:r>
          </w:p>
        </w:tc>
        <w:tc>
          <w:tcPr>
            <w:tcW w:w="1720" w:type="dxa"/>
            <w:tcBorders>
              <w:top w:val="nil"/>
              <w:left w:val="single" w:color="FFFFFF" w:sz="4" w:space="0"/>
              <w:bottom w:val="single" w:color="FFFFFF" w:sz="12" w:space="0"/>
              <w:right w:val="nil"/>
            </w:tcBorders>
            <w:shd w:val="clear" w:color="4874CB" w:fill="4874CB"/>
            <w:noWrap/>
            <w:vAlign w:val="center"/>
          </w:tcPr>
          <w:p w14:paraId="55D02B99">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在校生数</w:t>
            </w:r>
          </w:p>
        </w:tc>
      </w:tr>
      <w:tr w14:paraId="2A122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0" w:type="auto"/>
            <w:tcBorders>
              <w:top w:val="single" w:color="FFFFFF" w:sz="12" w:space="0"/>
              <w:left w:val="nil"/>
              <w:bottom w:val="single" w:color="FFFFFF" w:sz="4" w:space="0"/>
              <w:right w:val="single" w:color="FFFFFF" w:sz="4" w:space="0"/>
            </w:tcBorders>
            <w:shd w:val="clear" w:color="B5C6EA" w:fill="B5C6EA"/>
            <w:noWrap/>
            <w:vAlign w:val="center"/>
          </w:tcPr>
          <w:p w14:paraId="33F6242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32F21A6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江西九江科技中等专业学校</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0722F61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7FA3BB6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888</w:t>
            </w:r>
          </w:p>
        </w:tc>
        <w:tc>
          <w:tcPr>
            <w:tcW w:w="0" w:type="auto"/>
            <w:tcBorders>
              <w:top w:val="single" w:color="FFFFFF" w:sz="12" w:space="0"/>
              <w:left w:val="single" w:color="FFFFFF" w:sz="4" w:space="0"/>
              <w:bottom w:val="single" w:color="FFFFFF" w:sz="4" w:space="0"/>
              <w:right w:val="nil"/>
            </w:tcBorders>
            <w:shd w:val="clear" w:color="B5C6EA" w:fill="B5C6EA"/>
            <w:noWrap/>
            <w:vAlign w:val="center"/>
          </w:tcPr>
          <w:p w14:paraId="4E7B082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3442</w:t>
            </w:r>
          </w:p>
        </w:tc>
      </w:tr>
      <w:tr w14:paraId="33572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48A961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375B38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九江市卫生学校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36B913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1E9BCC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1269</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7A4BD3A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3720</w:t>
            </w:r>
          </w:p>
        </w:tc>
      </w:tr>
      <w:tr w14:paraId="17401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282FB7F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5F888E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九江市理工职业技术学校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A3B148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E6D57F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38BB4C2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331</w:t>
            </w:r>
          </w:p>
        </w:tc>
      </w:tr>
      <w:tr w14:paraId="70ABA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2C4A08A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E306EE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九江华东电子信息学校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8AA852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BE4E6B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437</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AB3FE4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718</w:t>
            </w:r>
          </w:p>
        </w:tc>
      </w:tr>
      <w:tr w14:paraId="55561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5956EFC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2C3DD7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九江市外事旅游学校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8A8F8F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CB9890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764881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278</w:t>
            </w:r>
          </w:p>
        </w:tc>
      </w:tr>
      <w:tr w14:paraId="439B7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3FFC29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86B0B7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赣北电子工业学校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DEF1C4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8B44B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75</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3E5EC9B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366</w:t>
            </w:r>
          </w:p>
        </w:tc>
      </w:tr>
      <w:tr w14:paraId="1D86D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704D053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DCEAA1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九江远东海事学校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943B01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00E01C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8DB66A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102</w:t>
            </w:r>
          </w:p>
        </w:tc>
      </w:tr>
      <w:tr w14:paraId="73912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7952BF1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98038D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九江市柴桑区中等职业技术学校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B1A8A3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507659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483</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7AE2543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1405</w:t>
            </w:r>
          </w:p>
        </w:tc>
      </w:tr>
      <w:tr w14:paraId="0B6B8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5A966C3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ACCF19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修水中等专业学校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5EDDEC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401DFC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1361</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567E19F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4817</w:t>
            </w:r>
          </w:p>
        </w:tc>
      </w:tr>
      <w:tr w14:paraId="43A8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6448B5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A557BE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九江市韶华职业高中</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94D4AC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7122F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332</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69600C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950</w:t>
            </w:r>
          </w:p>
        </w:tc>
      </w:tr>
      <w:tr w14:paraId="2D8DC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40E3EEA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E0F285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武宁中等专业学校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DAE99C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54FC6B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763</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4AE07C7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2252</w:t>
            </w:r>
          </w:p>
        </w:tc>
      </w:tr>
      <w:tr w14:paraId="16AC4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72C850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FB3A78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九江庐山西海艺术学校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C2A3B5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E7B5E1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59</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2E2163C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742</w:t>
            </w:r>
          </w:p>
        </w:tc>
      </w:tr>
      <w:tr w14:paraId="5B084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623656E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21CA6E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瑞昌中等专业学校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3A9318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E0FE8E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677</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3B3BFA9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2295</w:t>
            </w:r>
          </w:p>
        </w:tc>
      </w:tr>
      <w:tr w14:paraId="46FA4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AD5C79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9125DD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德安县中等职业技术学校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D424AB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E976ED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398</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7BA0192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985</w:t>
            </w:r>
          </w:p>
        </w:tc>
      </w:tr>
      <w:tr w14:paraId="065DC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5AF8BC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8C5090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永修中等专业学校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5C125C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2EEC88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1133</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6BF7BF3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3124</w:t>
            </w:r>
          </w:p>
        </w:tc>
      </w:tr>
      <w:tr w14:paraId="535F4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8AFAD3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2513F8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都昌中等专业学校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DE967C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DB24CB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884</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2A2804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2401</w:t>
            </w:r>
          </w:p>
        </w:tc>
      </w:tr>
      <w:tr w14:paraId="0F2A6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A43A84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8DB0F9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都昌县北炎农业职业中学</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913665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B92422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4894088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119</w:t>
            </w:r>
          </w:p>
        </w:tc>
      </w:tr>
      <w:tr w14:paraId="004B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5E65AA3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E6E97E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湖口县中等职业技术学校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0D5FEA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D43D20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531</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48BC7C1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1222</w:t>
            </w:r>
          </w:p>
        </w:tc>
      </w:tr>
      <w:tr w14:paraId="5EA7B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0D3A711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EFA702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彭泽县旅游工业中等专业学校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E5A07C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566029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1017</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446EF5C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3017</w:t>
            </w:r>
          </w:p>
        </w:tc>
      </w:tr>
      <w:tr w14:paraId="3D942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76FC9C2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7E0041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江西省庐山旅游职业高级中学</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4CD7BF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16440D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85B058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261</w:t>
            </w:r>
          </w:p>
        </w:tc>
      </w:tr>
      <w:tr w14:paraId="16A03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0293F76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FEFF8B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庐山市职业中等专业学校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BEEC1A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C0144D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7C016C8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61</w:t>
            </w:r>
          </w:p>
        </w:tc>
      </w:tr>
      <w:tr w14:paraId="2DE45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7E6CE66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50757B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共青城市职业高中</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883B65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82B284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390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520B97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390</w:t>
            </w:r>
          </w:p>
        </w:tc>
      </w:tr>
      <w:tr w14:paraId="6C64D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61F5FE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CD2184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共青中医药学校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713F1F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934A8F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213</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7182841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1172</w:t>
            </w:r>
          </w:p>
        </w:tc>
      </w:tr>
      <w:tr w14:paraId="1A1FD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2F9F07A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1888DE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南昌铁路保安中等专业学校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D934B3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DB08B1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536</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40B8180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1583</w:t>
            </w:r>
          </w:p>
        </w:tc>
      </w:tr>
      <w:tr w14:paraId="6953C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1DCCC84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CC1920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江西省通用技术工程学校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DA67BF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中职学校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B7318E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52185E8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1770</w:t>
            </w:r>
          </w:p>
        </w:tc>
      </w:tr>
      <w:tr w14:paraId="226C7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5E4B9C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93099D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九江市高级技工学校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2ED8CF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A486A7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1413</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301A679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3482</w:t>
            </w:r>
          </w:p>
        </w:tc>
      </w:tr>
      <w:tr w14:paraId="29C49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7456025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AD3E56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修水县高级技工学校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6D58CB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826F03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1443</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FB4EA4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3615</w:t>
            </w:r>
          </w:p>
        </w:tc>
      </w:tr>
      <w:tr w14:paraId="018F2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8F98B0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86E0E6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九江市机械技工学校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88C777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41622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363</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5BF7359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776</w:t>
            </w:r>
          </w:p>
        </w:tc>
      </w:tr>
      <w:tr w14:paraId="4C6A0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215A236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94137D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九江市轻化工业技工学校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B10D3A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7B4942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49</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3BEF2CB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480</w:t>
            </w:r>
          </w:p>
        </w:tc>
      </w:tr>
      <w:tr w14:paraId="3A9BA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5EF4B3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850E0A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江西省通用技工学校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9F4F9E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5E20D9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563B036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192</w:t>
            </w:r>
          </w:p>
        </w:tc>
      </w:tr>
      <w:tr w14:paraId="0782C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7592E0A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B73BF3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瑞昌市技工学校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D0A2D6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2894F7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454</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6376074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1185</w:t>
            </w:r>
          </w:p>
        </w:tc>
      </w:tr>
      <w:tr w14:paraId="4ECF1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383774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E96FC9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德安县技工学校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CF9B32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2F9EB5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51DDA69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785</w:t>
            </w:r>
          </w:p>
        </w:tc>
      </w:tr>
      <w:tr w14:paraId="42DE7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712A2DD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7896FC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武宁县技工学校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1C032E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1BF7E2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201</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7AA1A75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446</w:t>
            </w:r>
          </w:p>
        </w:tc>
      </w:tr>
      <w:tr w14:paraId="70FE4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D51B51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7C920A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彭泽县技工学校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FB9496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26F70D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258</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10AEAB1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1087</w:t>
            </w:r>
          </w:p>
        </w:tc>
      </w:tr>
      <w:tr w14:paraId="65D4C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08290BF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ADA4B3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湖口县技工学校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C54B26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73A29B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106</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3795D13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106</w:t>
            </w:r>
          </w:p>
        </w:tc>
      </w:tr>
      <w:tr w14:paraId="54BD2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2301E09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C2802F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九江庐山技工学校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4A38B5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EC0CF2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162</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4B7B7E9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374</w:t>
            </w:r>
          </w:p>
        </w:tc>
      </w:tr>
      <w:tr w14:paraId="281CE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72929DC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56DF46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九江市华科技工学校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73285F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CFC48D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495</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DBC51B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1854</w:t>
            </w:r>
          </w:p>
        </w:tc>
      </w:tr>
      <w:tr w14:paraId="6C702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28C30A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85D836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九江市振邦技工学校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777C7A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81095C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293</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E18D06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1338</w:t>
            </w:r>
          </w:p>
        </w:tc>
      </w:tr>
      <w:tr w14:paraId="5FE69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2058ED8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88120A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九江市宁州技工学校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2F3CF8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3CC610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810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571A414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1679</w:t>
            </w:r>
          </w:p>
        </w:tc>
      </w:tr>
      <w:tr w14:paraId="309EA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3251D53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D8781C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庐山市星辰技工学校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C689DE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364101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922</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3FC8C5D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1705</w:t>
            </w:r>
          </w:p>
        </w:tc>
      </w:tr>
      <w:tr w14:paraId="78919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16A6034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B64B2B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共青铁路工程技工学校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DE00B7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14F80C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210</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2E55733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884</w:t>
            </w:r>
          </w:p>
        </w:tc>
      </w:tr>
      <w:tr w14:paraId="4EA55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AF4B0B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68D8F0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共青技工学校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AAE059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技工学校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043A9A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453</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1CD401B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1669</w:t>
            </w:r>
          </w:p>
        </w:tc>
      </w:tr>
      <w:tr w14:paraId="5E7EC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7"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53F4574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43</w:t>
            </w:r>
          </w:p>
        </w:tc>
        <w:tc>
          <w:tcPr>
            <w:tcW w:w="3179" w:type="dxa"/>
            <w:tcBorders>
              <w:top w:val="single" w:color="FFFFFF" w:sz="4" w:space="0"/>
              <w:left w:val="single" w:color="FFFFFF" w:sz="4" w:space="0"/>
              <w:bottom w:val="single" w:color="FFFFFF" w:sz="4" w:space="0"/>
              <w:right w:val="single" w:color="FFFFFF" w:sz="4" w:space="0"/>
            </w:tcBorders>
            <w:shd w:val="clear" w:color="B5C6EA" w:fill="B5C6EA"/>
            <w:vAlign w:val="center"/>
          </w:tcPr>
          <w:p w14:paraId="1C65954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江西职业技术大学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（原九江职业技术学院）</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985B92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高职长学制</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48EA1E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203588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234</w:t>
            </w:r>
          </w:p>
        </w:tc>
      </w:tr>
      <w:tr w14:paraId="74E65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5635950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4DCA30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江西财经职业学院</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29277D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高职长学制</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6C5483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664</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275D9C8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1260</w:t>
            </w:r>
          </w:p>
        </w:tc>
      </w:tr>
      <w:tr w14:paraId="17528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638B5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E7AA37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九江职业大学</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6F170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高职长学制</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49466B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345</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3C99FEA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1892</w:t>
            </w:r>
          </w:p>
        </w:tc>
      </w:tr>
      <w:tr w14:paraId="13CA8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2FF0292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4EDD50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江西枫林涉外经贸职业学院</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FCEDCA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高职长学制</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461A9C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2CCACED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w:t>
            </w:r>
          </w:p>
        </w:tc>
      </w:tr>
      <w:tr w14:paraId="3B513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tcBorders>
              <w:top w:val="single" w:color="FFFFFF" w:sz="4" w:space="0"/>
              <w:left w:val="nil"/>
              <w:bottom w:val="nil"/>
              <w:right w:val="single" w:color="FFFFFF" w:sz="4" w:space="0"/>
            </w:tcBorders>
            <w:shd w:val="clear" w:color="B5C6EA" w:fill="B5C6EA"/>
            <w:noWrap/>
            <w:vAlign w:val="center"/>
          </w:tcPr>
          <w:p w14:paraId="49C237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47</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14:paraId="463EB3E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九江理工职业学院</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14:paraId="5287D0D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高职长学制</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14:paraId="6899C7F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37</w:t>
            </w:r>
          </w:p>
        </w:tc>
        <w:tc>
          <w:tcPr>
            <w:tcW w:w="0" w:type="auto"/>
            <w:tcBorders>
              <w:top w:val="single" w:color="FFFFFF" w:sz="4" w:space="0"/>
              <w:left w:val="single" w:color="FFFFFF" w:sz="4" w:space="0"/>
              <w:bottom w:val="nil"/>
              <w:right w:val="nil"/>
            </w:tcBorders>
            <w:shd w:val="clear" w:color="B5C6EA" w:fill="B5C6EA"/>
            <w:noWrap/>
            <w:vAlign w:val="center"/>
          </w:tcPr>
          <w:p w14:paraId="1869AF4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530</w:t>
            </w:r>
          </w:p>
        </w:tc>
      </w:tr>
    </w:tbl>
    <w:p w14:paraId="53DCAA64">
      <w:pPr>
        <w:pStyle w:val="16"/>
        <w:bidi w:val="0"/>
        <w:ind w:left="0" w:leftChars="0" w:firstLine="0" w:firstLineChars="0"/>
        <w:rPr>
          <w:rFonts w:hint="default"/>
          <w:lang w:val="en-US" w:eastAsia="zh-CN"/>
        </w:rPr>
      </w:pPr>
    </w:p>
    <w:p w14:paraId="4856522A">
      <w:pPr>
        <w:pStyle w:val="16"/>
        <w:rPr>
          <w:rFonts w:hint="default"/>
          <w:lang w:val="en-US" w:eastAsia="zh-CN"/>
        </w:rPr>
      </w:pPr>
      <w:r>
        <w:rPr>
          <w:rFonts w:hint="default"/>
          <w:lang w:val="en-US" w:eastAsia="zh-CN"/>
        </w:rPr>
        <w:t>202</w:t>
      </w:r>
      <w:r>
        <w:rPr>
          <w:rFonts w:hint="eastAsia"/>
          <w:lang w:val="en-US" w:eastAsia="zh-CN"/>
        </w:rPr>
        <w:t>4</w:t>
      </w:r>
      <w:r>
        <w:rPr>
          <w:rFonts w:hint="default"/>
          <w:lang w:val="en-US" w:eastAsia="zh-CN"/>
        </w:rPr>
        <w:t>年</w:t>
      </w:r>
      <w:r>
        <w:rPr>
          <w:rFonts w:hint="eastAsia"/>
          <w:lang w:val="en-US" w:eastAsia="zh-CN"/>
        </w:rPr>
        <w:t>我市</w:t>
      </w:r>
      <w:r>
        <w:rPr>
          <w:rFonts w:hint="default"/>
          <w:lang w:val="en-US" w:eastAsia="zh-CN"/>
        </w:rPr>
        <w:t>职业院校高中段共招生</w:t>
      </w:r>
      <w:r>
        <w:rPr>
          <w:rFonts w:hint="eastAsia"/>
          <w:lang w:val="en-US" w:eastAsia="zh-CN"/>
        </w:rPr>
        <w:t>20355</w:t>
      </w:r>
      <w:r>
        <w:rPr>
          <w:rFonts w:hint="default"/>
          <w:lang w:val="en-US" w:eastAsia="zh-CN"/>
        </w:rPr>
        <w:t>人，其中中职学校招生</w:t>
      </w:r>
      <w:r>
        <w:rPr>
          <w:rFonts w:hint="eastAsia"/>
          <w:lang w:val="en-US" w:eastAsia="zh-CN"/>
        </w:rPr>
        <w:t>11606</w:t>
      </w:r>
      <w:r>
        <w:rPr>
          <w:rFonts w:hint="default"/>
          <w:lang w:val="en-US" w:eastAsia="zh-CN"/>
        </w:rPr>
        <w:t>人（含长学制一体化培养学生数），技工院校招生</w:t>
      </w:r>
      <w:r>
        <w:rPr>
          <w:rFonts w:hint="eastAsia"/>
          <w:lang w:val="en-US" w:eastAsia="zh-CN"/>
        </w:rPr>
        <w:t>7632人。</w:t>
      </w:r>
      <w:r>
        <w:rPr>
          <w:rFonts w:hint="default"/>
          <w:lang w:val="en-US" w:eastAsia="zh-CN"/>
        </w:rPr>
        <w:t>普通高中招生</w:t>
      </w:r>
      <w:r>
        <w:rPr>
          <w:rFonts w:hint="eastAsia"/>
          <w:lang w:val="en-US" w:eastAsia="zh-CN"/>
        </w:rPr>
        <w:t>42848</w:t>
      </w:r>
      <w:r>
        <w:rPr>
          <w:rFonts w:hint="default"/>
          <w:lang w:val="en-US" w:eastAsia="zh-CN"/>
        </w:rPr>
        <w:t>人，高中段学校招生普职比为6</w:t>
      </w:r>
      <w:r>
        <w:rPr>
          <w:rFonts w:hint="eastAsia"/>
          <w:lang w:val="en-US" w:eastAsia="zh-CN"/>
        </w:rPr>
        <w:t>8</w:t>
      </w:r>
      <w:r>
        <w:rPr>
          <w:rFonts w:hint="default"/>
          <w:lang w:val="en-US" w:eastAsia="zh-CN"/>
        </w:rPr>
        <w:t>:3</w:t>
      </w:r>
      <w:r>
        <w:rPr>
          <w:rFonts w:hint="eastAsia"/>
          <w:lang w:val="en-US" w:eastAsia="zh-CN"/>
        </w:rPr>
        <w:t>2</w:t>
      </w:r>
      <w:r>
        <w:rPr>
          <w:rFonts w:hint="default"/>
          <w:lang w:val="en-US" w:eastAsia="zh-CN"/>
        </w:rPr>
        <w:t>。</w:t>
      </w:r>
    </w:p>
    <w:p w14:paraId="6F41CADF">
      <w:pPr>
        <w:pStyle w:val="16"/>
        <w:rPr>
          <w:rFonts w:hint="default"/>
          <w:lang w:val="en-US" w:eastAsia="zh-CN"/>
        </w:rPr>
      </w:pPr>
    </w:p>
    <w:p w14:paraId="63B1A2F5">
      <w:pPr>
        <w:pStyle w:val="38"/>
        <w:bidi w:val="0"/>
        <w:rPr>
          <w:rFonts w:hint="default"/>
          <w:lang w:val="en-US" w:eastAsia="zh-CN"/>
        </w:rPr>
      </w:pPr>
      <w:bookmarkStart w:id="24" w:name="_Toc29657"/>
      <w:r>
        <w:rPr>
          <w:rFonts w:hint="eastAsia"/>
          <w:lang w:val="en-US" w:eastAsia="zh-CN"/>
        </w:rPr>
        <w:t>表3：中等职业教育在校生历年规模统计表</w:t>
      </w:r>
      <w:bookmarkEnd w:id="24"/>
    </w:p>
    <w:tbl>
      <w:tblPr>
        <w:tblStyle w:val="13"/>
        <w:tblW w:w="79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98"/>
        <w:gridCol w:w="1350"/>
        <w:gridCol w:w="1731"/>
        <w:gridCol w:w="1978"/>
        <w:gridCol w:w="1681"/>
      </w:tblGrid>
      <w:tr w14:paraId="7C5BD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1198" w:type="dxa"/>
            <w:tcBorders>
              <w:top w:val="nil"/>
              <w:left w:val="nil"/>
              <w:bottom w:val="single" w:color="FFFFFF" w:sz="12" w:space="0"/>
              <w:right w:val="single" w:color="FFFFFF" w:sz="4" w:space="0"/>
            </w:tcBorders>
            <w:shd w:val="clear" w:color="4874CB" w:fill="4874CB"/>
            <w:noWrap/>
            <w:vAlign w:val="center"/>
          </w:tcPr>
          <w:p w14:paraId="7BFA0A8B">
            <w:pPr>
              <w:keepNext w:val="0"/>
              <w:keepLines w:val="0"/>
              <w:widowControl/>
              <w:suppressLineNumbers w:val="0"/>
              <w:jc w:val="center"/>
              <w:textAlignment w:val="center"/>
              <w:rPr>
                <w:rFonts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年份</w:t>
            </w:r>
          </w:p>
        </w:tc>
        <w:tc>
          <w:tcPr>
            <w:tcW w:w="1350" w:type="dxa"/>
            <w:tcBorders>
              <w:top w:val="nil"/>
              <w:left w:val="single" w:color="FFFFFF" w:sz="4" w:space="0"/>
              <w:bottom w:val="single" w:color="FFFFFF" w:sz="12" w:space="0"/>
              <w:right w:val="single" w:color="FFFFFF" w:sz="4" w:space="0"/>
            </w:tcBorders>
            <w:shd w:val="clear" w:color="4874CB" w:fill="4874CB"/>
            <w:noWrap/>
            <w:vAlign w:val="center"/>
          </w:tcPr>
          <w:p w14:paraId="2E222332">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在校生数</w:t>
            </w:r>
          </w:p>
        </w:tc>
        <w:tc>
          <w:tcPr>
            <w:tcW w:w="1731" w:type="dxa"/>
            <w:tcBorders>
              <w:top w:val="nil"/>
              <w:left w:val="single" w:color="FFFFFF" w:sz="4" w:space="0"/>
              <w:bottom w:val="single" w:color="FFFFFF" w:sz="12" w:space="0"/>
              <w:right w:val="single" w:color="FFFFFF" w:sz="4" w:space="0"/>
            </w:tcBorders>
            <w:shd w:val="clear" w:color="4874CB" w:fill="4874CB"/>
            <w:noWrap/>
            <w:vAlign w:val="center"/>
          </w:tcPr>
          <w:p w14:paraId="350FBD2C">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当年招生数</w:t>
            </w:r>
          </w:p>
        </w:tc>
        <w:tc>
          <w:tcPr>
            <w:tcW w:w="1978" w:type="dxa"/>
            <w:tcBorders>
              <w:top w:val="nil"/>
              <w:left w:val="single" w:color="FFFFFF" w:sz="4" w:space="0"/>
              <w:bottom w:val="single" w:color="FFFFFF" w:sz="12" w:space="0"/>
              <w:right w:val="single" w:color="FFFFFF" w:sz="4" w:space="0"/>
            </w:tcBorders>
            <w:shd w:val="clear" w:color="4874CB" w:fill="4874CB"/>
            <w:noWrap/>
            <w:vAlign w:val="center"/>
          </w:tcPr>
          <w:p w14:paraId="59EAABEF">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当年普高招生数</w:t>
            </w:r>
          </w:p>
        </w:tc>
        <w:tc>
          <w:tcPr>
            <w:tcW w:w="1681" w:type="dxa"/>
            <w:tcBorders>
              <w:top w:val="nil"/>
              <w:left w:val="single" w:color="FFFFFF" w:sz="4" w:space="0"/>
              <w:bottom w:val="single" w:color="FFFFFF" w:sz="12" w:space="0"/>
              <w:right w:val="nil"/>
            </w:tcBorders>
            <w:shd w:val="clear" w:color="4874CB" w:fill="4874CB"/>
            <w:noWrap/>
            <w:vAlign w:val="center"/>
          </w:tcPr>
          <w:p w14:paraId="58FABEAB">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中职招生占比</w:t>
            </w:r>
          </w:p>
        </w:tc>
      </w:tr>
      <w:tr w14:paraId="16DC3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0" w:type="auto"/>
            <w:tcBorders>
              <w:top w:val="single" w:color="FFFFFF" w:sz="12" w:space="0"/>
              <w:left w:val="nil"/>
              <w:bottom w:val="single" w:color="FFFFFF" w:sz="4" w:space="0"/>
              <w:right w:val="single" w:color="FFFFFF" w:sz="4" w:space="0"/>
            </w:tcBorders>
            <w:shd w:val="clear" w:color="B5C6EA" w:fill="B5C6EA"/>
            <w:noWrap/>
            <w:vAlign w:val="center"/>
          </w:tcPr>
          <w:p w14:paraId="6848836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2020</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0839D5D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47839</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4E59916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19611</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72501B4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38852</w:t>
            </w:r>
          </w:p>
        </w:tc>
        <w:tc>
          <w:tcPr>
            <w:tcW w:w="0" w:type="auto"/>
            <w:tcBorders>
              <w:top w:val="single" w:color="FFFFFF" w:sz="12" w:space="0"/>
              <w:left w:val="single" w:color="FFFFFF" w:sz="4" w:space="0"/>
              <w:bottom w:val="single" w:color="FFFFFF" w:sz="4" w:space="0"/>
              <w:right w:val="nil"/>
            </w:tcBorders>
            <w:shd w:val="clear" w:color="B5C6EA" w:fill="B5C6EA"/>
            <w:noWrap/>
            <w:vAlign w:val="center"/>
          </w:tcPr>
          <w:p w14:paraId="7EE937C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33.54%</w:t>
            </w:r>
          </w:p>
        </w:tc>
      </w:tr>
      <w:tr w14:paraId="6989F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740764A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E0756C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60405</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0997D4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25413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3F6B3B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39990</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7A02EB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39%</w:t>
            </w:r>
          </w:p>
        </w:tc>
      </w:tr>
      <w:tr w14:paraId="1B7B9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6092CAD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EE45B6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66852</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5534FF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22818</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AB0FD0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42293</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6D0E565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35.04%</w:t>
            </w:r>
          </w:p>
        </w:tc>
      </w:tr>
      <w:tr w14:paraId="35A41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4E25C52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AC9DE0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66839</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BD749A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20586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CB106C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39454</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978E5A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34.29%</w:t>
            </w:r>
          </w:p>
        </w:tc>
      </w:tr>
      <w:tr w14:paraId="1D239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0" w:type="auto"/>
            <w:tcBorders>
              <w:top w:val="single" w:color="FFFFFF" w:sz="4" w:space="0"/>
              <w:left w:val="nil"/>
              <w:bottom w:val="nil"/>
              <w:right w:val="single" w:color="FFFFFF" w:sz="4" w:space="0"/>
            </w:tcBorders>
            <w:shd w:val="clear" w:color="B5C6EA" w:fill="B5C6EA"/>
            <w:noWrap/>
            <w:vAlign w:val="center"/>
          </w:tcPr>
          <w:p w14:paraId="537FD9C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14:paraId="7474A14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63203</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14:paraId="17DB609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20355</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14:paraId="79BD1DE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42848</w:t>
            </w:r>
          </w:p>
        </w:tc>
        <w:tc>
          <w:tcPr>
            <w:tcW w:w="0" w:type="auto"/>
            <w:tcBorders>
              <w:top w:val="single" w:color="FFFFFF" w:sz="4" w:space="0"/>
              <w:left w:val="single" w:color="FFFFFF" w:sz="4" w:space="0"/>
              <w:bottom w:val="nil"/>
              <w:right w:val="nil"/>
            </w:tcBorders>
            <w:shd w:val="clear" w:color="B5C6EA" w:fill="B5C6EA"/>
            <w:noWrap/>
            <w:vAlign w:val="center"/>
          </w:tcPr>
          <w:p w14:paraId="2EE614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32.20%</w:t>
            </w:r>
          </w:p>
        </w:tc>
      </w:tr>
    </w:tbl>
    <w:p w14:paraId="46589606">
      <w:pPr>
        <w:pStyle w:val="36"/>
        <w:bidi w:val="0"/>
        <w:rPr>
          <w:rFonts w:hint="eastAsia"/>
          <w:lang w:val="en-US" w:eastAsia="zh-CN"/>
        </w:rPr>
      </w:pPr>
      <w:bookmarkStart w:id="25" w:name="_Toc19"/>
      <w:bookmarkStart w:id="26" w:name="_Toc15944"/>
      <w:bookmarkStart w:id="27" w:name="_Toc25480"/>
      <w:r>
        <w:rPr>
          <w:rFonts w:hint="eastAsia"/>
          <w:lang w:val="en-US" w:eastAsia="zh-CN"/>
        </w:rPr>
        <w:t>1.2 设施设备</w:t>
      </w:r>
      <w:bookmarkEnd w:id="25"/>
      <w:bookmarkEnd w:id="26"/>
      <w:bookmarkEnd w:id="27"/>
    </w:p>
    <w:p w14:paraId="09C87345">
      <w:pPr>
        <w:pStyle w:val="16"/>
        <w:rPr>
          <w:rFonts w:hint="default"/>
          <w:lang w:val="en-US" w:eastAsia="zh-CN"/>
        </w:rPr>
      </w:pPr>
      <w:r>
        <w:rPr>
          <w:rFonts w:hint="default"/>
          <w:lang w:val="en-US" w:eastAsia="zh-CN"/>
        </w:rPr>
        <w:t>202</w:t>
      </w:r>
      <w:r>
        <w:rPr>
          <w:rFonts w:hint="eastAsia"/>
          <w:lang w:val="en-US" w:eastAsia="zh-CN"/>
        </w:rPr>
        <w:t>4</w:t>
      </w:r>
      <w:r>
        <w:rPr>
          <w:rFonts w:hint="default"/>
          <w:lang w:val="en-US" w:eastAsia="zh-CN"/>
        </w:rPr>
        <w:t>年全市</w:t>
      </w:r>
      <w:r>
        <w:rPr>
          <w:rFonts w:hint="eastAsia"/>
          <w:lang w:val="en-US" w:eastAsia="zh-CN"/>
        </w:rPr>
        <w:t>中职学校</w:t>
      </w:r>
      <w:r>
        <w:rPr>
          <w:rFonts w:hint="default"/>
          <w:lang w:val="en-US" w:eastAsia="zh-CN"/>
        </w:rPr>
        <w:t>总占地面积</w:t>
      </w:r>
      <w:r>
        <w:rPr>
          <w:rFonts w:hint="eastAsia"/>
          <w:lang w:val="en-US" w:eastAsia="zh-CN"/>
        </w:rPr>
        <w:t>为3111.68</w:t>
      </w:r>
      <w:r>
        <w:rPr>
          <w:rFonts w:hint="default"/>
          <w:lang w:val="en-US" w:eastAsia="zh-CN"/>
        </w:rPr>
        <w:t>亩，总校舍建筑面积</w:t>
      </w:r>
      <w:r>
        <w:rPr>
          <w:rFonts w:hint="eastAsia"/>
          <w:lang w:val="en-US" w:eastAsia="zh-CN"/>
        </w:rPr>
        <w:t>126.99</w:t>
      </w:r>
      <w:r>
        <w:rPr>
          <w:rFonts w:hint="default"/>
          <w:lang w:val="en-US" w:eastAsia="zh-CN"/>
        </w:rPr>
        <w:t>万平方米。拥有实习实训设备价值3</w:t>
      </w:r>
      <w:r>
        <w:rPr>
          <w:rFonts w:hint="eastAsia"/>
          <w:lang w:val="en-US" w:eastAsia="zh-CN"/>
        </w:rPr>
        <w:t>.</w:t>
      </w:r>
      <w:r>
        <w:rPr>
          <w:rFonts w:hint="default"/>
          <w:lang w:val="en-US" w:eastAsia="zh-CN"/>
        </w:rPr>
        <w:t>23亿元，生均教学仪器设备值</w:t>
      </w:r>
      <w:r>
        <w:rPr>
          <w:rFonts w:hint="eastAsia"/>
          <w:lang w:val="en-US" w:eastAsia="zh-CN"/>
        </w:rPr>
        <w:t>7973.84</w:t>
      </w:r>
      <w:r>
        <w:rPr>
          <w:rFonts w:hint="default"/>
          <w:lang w:val="en-US" w:eastAsia="zh-CN"/>
        </w:rPr>
        <w:t>元。纸质图书</w:t>
      </w:r>
      <w:r>
        <w:rPr>
          <w:rFonts w:hint="eastAsia"/>
          <w:lang w:val="en-US" w:eastAsia="zh-CN"/>
        </w:rPr>
        <w:t>144.11</w:t>
      </w:r>
      <w:r>
        <w:rPr>
          <w:rFonts w:hint="default"/>
          <w:lang w:val="en-US" w:eastAsia="zh-CN"/>
        </w:rPr>
        <w:t>万册，电子图书</w:t>
      </w:r>
      <w:r>
        <w:rPr>
          <w:rFonts w:hint="eastAsia"/>
          <w:lang w:val="en-US" w:eastAsia="zh-CN"/>
        </w:rPr>
        <w:t>67.62</w:t>
      </w:r>
      <w:r>
        <w:rPr>
          <w:rFonts w:hint="default"/>
          <w:lang w:val="en-US" w:eastAsia="zh-CN"/>
        </w:rPr>
        <w:t>万册，生均</w:t>
      </w:r>
      <w:r>
        <w:rPr>
          <w:rFonts w:hint="eastAsia"/>
          <w:lang w:val="en-US" w:eastAsia="zh-CN"/>
        </w:rPr>
        <w:t>52.6</w:t>
      </w:r>
      <w:r>
        <w:rPr>
          <w:rFonts w:hint="default"/>
          <w:lang w:val="en-US" w:eastAsia="zh-CN"/>
        </w:rPr>
        <w:t>册。</w:t>
      </w:r>
    </w:p>
    <w:p w14:paraId="61A89D73">
      <w:pPr>
        <w:pStyle w:val="36"/>
        <w:bidi w:val="0"/>
        <w:rPr>
          <w:rFonts w:hint="eastAsia"/>
          <w:lang w:val="en-US" w:eastAsia="zh-CN"/>
        </w:rPr>
      </w:pPr>
      <w:bookmarkStart w:id="28" w:name="_Toc18340"/>
      <w:bookmarkStart w:id="29" w:name="_Toc494"/>
      <w:r>
        <w:rPr>
          <w:rFonts w:hint="eastAsia"/>
          <w:lang w:val="en-US" w:eastAsia="zh-CN"/>
        </w:rPr>
        <w:t>1.3 教师队伍</w:t>
      </w:r>
      <w:bookmarkEnd w:id="28"/>
      <w:bookmarkEnd w:id="29"/>
    </w:p>
    <w:p w14:paraId="5647FE45">
      <w:pPr>
        <w:pStyle w:val="16"/>
        <w:rPr>
          <w:rFonts w:hint="default"/>
          <w:lang w:val="en-US" w:eastAsia="zh-CN"/>
        </w:rPr>
      </w:pPr>
      <w:r>
        <w:rPr>
          <w:rFonts w:hint="eastAsia"/>
          <w:lang w:val="en-US" w:eastAsia="zh-CN"/>
        </w:rPr>
        <w:t>2024年，全市中职学校共有教职员工额定编制数1461人，专任教师2297人。高级专业技术职务专任教师414人，占比18.02%；思政课教师217人，体育课专任教师134人，美育课专任教师159人；共有班主任883人。</w:t>
      </w:r>
    </w:p>
    <w:p w14:paraId="1498F8DD">
      <w:pPr>
        <w:pStyle w:val="16"/>
        <w:rPr>
          <w:rFonts w:hint="eastAsia"/>
          <w:lang w:val="en-US" w:eastAsia="zh-CN"/>
        </w:rPr>
      </w:pPr>
      <w:r>
        <w:rPr>
          <w:rFonts w:hint="eastAsia"/>
          <w:lang w:val="en-US" w:eastAsia="zh-CN"/>
        </w:rPr>
        <w:t>根据《关于公布2024年度应用型本科高校、职业学校“双师型”教师认定名单的通知》（赣教职成字〔2024〕20号）我市中职学校2024年申报认定“双师型”教师446人（其中33人2023年已认定），全市总数达到808人。根据最新教育统计年鉴数据，我市专业教师1512人。据此，我市中职学校“双师型”教师占比已达到53.44%。</w:t>
      </w:r>
    </w:p>
    <w:p w14:paraId="521F3B94">
      <w:pPr>
        <w:rPr>
          <w:rFonts w:hint="eastAsia"/>
          <w:lang w:val="en-US" w:eastAsia="zh-CN"/>
        </w:rPr>
      </w:pPr>
      <w:r>
        <w:rPr>
          <w:rFonts w:hint="eastAsia"/>
          <w:lang w:val="en-US" w:eastAsia="zh-CN"/>
        </w:rPr>
        <w:br w:type="page"/>
      </w:r>
    </w:p>
    <w:p w14:paraId="5A40EA90">
      <w:pPr>
        <w:pStyle w:val="15"/>
        <w:numPr>
          <w:ilvl w:val="0"/>
          <w:numId w:val="0"/>
        </w:numPr>
        <w:bidi w:val="0"/>
        <w:ind w:left="0" w:leftChars="0" w:firstLine="640" w:firstLineChars="200"/>
        <w:rPr>
          <w:rFonts w:hint="eastAsia"/>
          <w:lang w:val="en-US" w:eastAsia="zh-CN"/>
        </w:rPr>
      </w:pPr>
      <w:bookmarkStart w:id="30" w:name="_Toc5935"/>
      <w:bookmarkStart w:id="31" w:name="_Toc24840"/>
      <w:r>
        <w:rPr>
          <w:rFonts w:hint="eastAsia"/>
          <w:lang w:val="en-US" w:eastAsia="zh-CN"/>
        </w:rPr>
        <w:t>2 人才培养</w:t>
      </w:r>
      <w:bookmarkEnd w:id="30"/>
      <w:bookmarkEnd w:id="31"/>
    </w:p>
    <w:p w14:paraId="3C313940">
      <w:pPr>
        <w:pStyle w:val="36"/>
        <w:bidi w:val="0"/>
        <w:rPr>
          <w:rFonts w:hint="default"/>
          <w:lang w:val="en-US" w:eastAsia="zh-CN"/>
        </w:rPr>
      </w:pPr>
      <w:bookmarkStart w:id="32" w:name="_Toc20479"/>
      <w:r>
        <w:rPr>
          <w:rFonts w:hint="eastAsia"/>
          <w:lang w:val="en-US" w:eastAsia="zh-CN"/>
        </w:rPr>
        <w:t>2.1 专业设置</w:t>
      </w:r>
      <w:bookmarkEnd w:id="32"/>
    </w:p>
    <w:p w14:paraId="7CB96077">
      <w:pPr>
        <w:pStyle w:val="16"/>
        <w:rPr>
          <w:rFonts w:hint="default"/>
          <w:lang w:val="en-US" w:eastAsia="zh-CN"/>
        </w:rPr>
      </w:pPr>
      <w:r>
        <w:rPr>
          <w:rFonts w:hint="default"/>
          <w:lang w:val="en-US" w:eastAsia="zh-CN"/>
        </w:rPr>
        <w:t>2024年</w:t>
      </w:r>
      <w:r>
        <w:rPr>
          <w:rFonts w:hint="eastAsia"/>
          <w:lang w:val="en-US" w:eastAsia="zh-CN"/>
        </w:rPr>
        <w:t>，在</w:t>
      </w:r>
      <w:r>
        <w:rPr>
          <w:rFonts w:hint="default"/>
          <w:lang w:val="en-US" w:eastAsia="zh-CN"/>
        </w:rPr>
        <w:t>原有专业点136个</w:t>
      </w:r>
      <w:r>
        <w:rPr>
          <w:rFonts w:hint="eastAsia"/>
          <w:lang w:val="en-US" w:eastAsia="zh-CN"/>
        </w:rPr>
        <w:t>基础上</w:t>
      </w:r>
      <w:r>
        <w:rPr>
          <w:rFonts w:hint="default"/>
          <w:lang w:val="en-US" w:eastAsia="zh-CN"/>
        </w:rPr>
        <w:t>，通过优化专业设置，对教学质量不佳、学生就业不理想的专业点停办11个。根据我市经济社会发展趋势，新增模具制造技术、精细化工技术、智能设备运行与维护、新能源汽车运用与维修等专业点17个。</w:t>
      </w:r>
    </w:p>
    <w:p w14:paraId="28A6090C">
      <w:pPr>
        <w:pStyle w:val="16"/>
        <w:rPr>
          <w:rFonts w:hint="default"/>
          <w:lang w:val="en-US" w:eastAsia="zh-CN"/>
        </w:rPr>
      </w:pPr>
      <w:r>
        <w:rPr>
          <w:rFonts w:hint="eastAsia"/>
          <w:lang w:val="en-US" w:eastAsia="zh-CN"/>
        </w:rPr>
        <w:t>目前，我市中职学校共有55个专业，142个专业点，涉及电子与信息大类、装备制造大类、财经商贸大类、交通运输大类、生物与化工大类等12个大类。</w:t>
      </w:r>
    </w:p>
    <w:p w14:paraId="0D144A1C">
      <w:pPr>
        <w:pStyle w:val="16"/>
        <w:rPr>
          <w:rFonts w:hint="default"/>
          <w:lang w:val="en-US" w:eastAsia="zh-CN"/>
        </w:rPr>
      </w:pPr>
      <w:r>
        <w:rPr>
          <w:rFonts w:hint="default"/>
          <w:lang w:val="en-US" w:eastAsia="zh-CN"/>
        </w:rPr>
        <w:t>从专业点数量上看，排名前三的分别为幼儿保育专业（13个）、计算机应用专业（12个）、电子商务专业（10个）。按专业大类计算，电子与信息大类共有35个专业点，财经商贸大类为28个，装备制造大类为25个。</w:t>
      </w:r>
    </w:p>
    <w:p w14:paraId="110E3006">
      <w:pPr>
        <w:pStyle w:val="16"/>
        <w:rPr>
          <w:rFonts w:hint="default"/>
          <w:lang w:val="en-US" w:eastAsia="zh-CN"/>
        </w:rPr>
      </w:pPr>
      <w:r>
        <w:rPr>
          <w:rFonts w:hint="default"/>
          <w:lang w:val="en-US" w:eastAsia="zh-CN"/>
        </w:rPr>
        <w:t>从在校生数量上看，人数最多的3个专业为计算机应用专业（8118人）、电子商务专业（4501人）、幼儿保育专业（3763人）；人数最少的3个专业为模具制造技术专业（4人）、服务机器人装配与维护专业（7人）、电梯安装与维修保养（7人）。从专业大类看，人数最多的三个大类分别为，电子与信息大类（13273人）、财经商贸大类（5686人）、医药卫生大类（4619人）；人数最少的三个大类分别为资源环境与安全大类（38人）、新闻传播大类（49人）、公共管理与服务大类（110人）。</w:t>
      </w:r>
    </w:p>
    <w:p w14:paraId="21867238">
      <w:pPr>
        <w:pStyle w:val="16"/>
        <w:rPr>
          <w:rFonts w:hint="default"/>
          <w:lang w:val="en-US" w:eastAsia="zh-CN"/>
        </w:rPr>
      </w:pPr>
    </w:p>
    <w:p w14:paraId="106538AB">
      <w:pPr>
        <w:pStyle w:val="38"/>
        <w:bidi w:val="0"/>
        <w:rPr>
          <w:rFonts w:hint="default"/>
          <w:lang w:val="en-US" w:eastAsia="zh-CN"/>
        </w:rPr>
      </w:pPr>
      <w:bookmarkStart w:id="33" w:name="_Toc9771"/>
      <w:r>
        <w:rPr>
          <w:rFonts w:hint="eastAsia"/>
          <w:lang w:val="en-US" w:eastAsia="zh-CN"/>
        </w:rPr>
        <w:t>表4：2024年九江市中职教育招生专业一览表</w:t>
      </w:r>
      <w:bookmarkEnd w:id="33"/>
    </w:p>
    <w:tbl>
      <w:tblPr>
        <w:tblStyle w:val="13"/>
        <w:tblW w:w="93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5"/>
        <w:gridCol w:w="3096"/>
        <w:gridCol w:w="1125"/>
        <w:gridCol w:w="1896"/>
        <w:gridCol w:w="2136"/>
        <w:gridCol w:w="645"/>
      </w:tblGrid>
      <w:tr w14:paraId="7F6A5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645" w:type="dxa"/>
            <w:tcBorders>
              <w:top w:val="nil"/>
              <w:left w:val="nil"/>
              <w:bottom w:val="single" w:color="FFFFFF" w:sz="12" w:space="0"/>
              <w:right w:val="single" w:color="FFFFFF" w:sz="4" w:space="0"/>
            </w:tcBorders>
            <w:shd w:val="clear" w:color="4874CB" w:fill="4874CB"/>
            <w:noWrap/>
            <w:vAlign w:val="center"/>
          </w:tcPr>
          <w:p w14:paraId="4521ED29">
            <w:pPr>
              <w:keepNext w:val="0"/>
              <w:keepLines w:val="0"/>
              <w:widowControl/>
              <w:suppressLineNumbers w:val="0"/>
              <w:jc w:val="center"/>
              <w:textAlignment w:val="center"/>
              <w:rPr>
                <w:rFonts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序号</w:t>
            </w:r>
          </w:p>
        </w:tc>
        <w:tc>
          <w:tcPr>
            <w:tcW w:w="3045" w:type="dxa"/>
            <w:tcBorders>
              <w:top w:val="nil"/>
              <w:left w:val="single" w:color="FFFFFF" w:sz="4" w:space="0"/>
              <w:bottom w:val="single" w:color="FFFFFF" w:sz="12" w:space="0"/>
              <w:right w:val="single" w:color="FFFFFF" w:sz="4" w:space="0"/>
            </w:tcBorders>
            <w:shd w:val="clear" w:color="4874CB" w:fill="4874CB"/>
            <w:noWrap/>
            <w:vAlign w:val="center"/>
          </w:tcPr>
          <w:p w14:paraId="694E48FD">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专业名称</w:t>
            </w:r>
          </w:p>
        </w:tc>
        <w:tc>
          <w:tcPr>
            <w:tcW w:w="1125" w:type="dxa"/>
            <w:tcBorders>
              <w:top w:val="nil"/>
              <w:left w:val="single" w:color="FFFFFF" w:sz="4" w:space="0"/>
              <w:bottom w:val="single" w:color="FFFFFF" w:sz="12" w:space="0"/>
              <w:right w:val="single" w:color="FFFFFF" w:sz="4" w:space="0"/>
            </w:tcBorders>
            <w:shd w:val="clear" w:color="4874CB" w:fill="4874CB"/>
            <w:noWrap/>
            <w:vAlign w:val="center"/>
          </w:tcPr>
          <w:p w14:paraId="7AB43EB5">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专业代码</w:t>
            </w:r>
          </w:p>
        </w:tc>
        <w:tc>
          <w:tcPr>
            <w:tcW w:w="1800" w:type="dxa"/>
            <w:tcBorders>
              <w:top w:val="nil"/>
              <w:left w:val="single" w:color="FFFFFF" w:sz="4" w:space="0"/>
              <w:bottom w:val="single" w:color="FFFFFF" w:sz="12" w:space="0"/>
              <w:right w:val="single" w:color="FFFFFF" w:sz="4" w:space="0"/>
            </w:tcBorders>
            <w:shd w:val="clear" w:color="4874CB" w:fill="4874CB"/>
            <w:noWrap/>
            <w:vAlign w:val="center"/>
          </w:tcPr>
          <w:p w14:paraId="6C441459">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专业大类</w:t>
            </w:r>
          </w:p>
        </w:tc>
        <w:tc>
          <w:tcPr>
            <w:tcW w:w="2055" w:type="dxa"/>
            <w:tcBorders>
              <w:top w:val="nil"/>
              <w:left w:val="single" w:color="FFFFFF" w:sz="4" w:space="0"/>
              <w:bottom w:val="single" w:color="FFFFFF" w:sz="12" w:space="0"/>
              <w:right w:val="single" w:color="FFFFFF" w:sz="4" w:space="0"/>
            </w:tcBorders>
            <w:shd w:val="clear" w:color="4874CB" w:fill="4874CB"/>
            <w:noWrap/>
            <w:vAlign w:val="center"/>
          </w:tcPr>
          <w:p w14:paraId="6B59CDC2">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专业类</w:t>
            </w:r>
          </w:p>
        </w:tc>
        <w:tc>
          <w:tcPr>
            <w:tcW w:w="645" w:type="dxa"/>
            <w:tcBorders>
              <w:top w:val="nil"/>
              <w:left w:val="single" w:color="FFFFFF" w:sz="4" w:space="0"/>
              <w:bottom w:val="single" w:color="FFFFFF" w:sz="12" w:space="0"/>
              <w:right w:val="nil"/>
            </w:tcBorders>
            <w:shd w:val="clear" w:color="4874CB" w:fill="4874CB"/>
            <w:noWrap/>
            <w:vAlign w:val="center"/>
          </w:tcPr>
          <w:p w14:paraId="20A56DD4">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学制</w:t>
            </w:r>
          </w:p>
        </w:tc>
      </w:tr>
      <w:tr w14:paraId="43229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FFFFFF" w:sz="12" w:space="0"/>
              <w:left w:val="nil"/>
              <w:bottom w:val="single" w:color="FFFFFF" w:sz="4" w:space="0"/>
              <w:right w:val="single" w:color="FFFFFF" w:sz="4" w:space="0"/>
            </w:tcBorders>
            <w:shd w:val="clear" w:color="B5C6EA" w:fill="B5C6EA"/>
            <w:noWrap/>
            <w:vAlign w:val="center"/>
          </w:tcPr>
          <w:p w14:paraId="3C796AA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571A520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茶叶生产与加工</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0941B3E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610107</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12DDCD7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农林牧渔大类</w:t>
            </w:r>
          </w:p>
        </w:tc>
        <w:tc>
          <w:tcPr>
            <w:tcW w:w="0" w:type="auto"/>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10FFBCA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农业类</w:t>
            </w:r>
          </w:p>
        </w:tc>
        <w:tc>
          <w:tcPr>
            <w:tcW w:w="0" w:type="auto"/>
            <w:tcBorders>
              <w:top w:val="single" w:color="FFFFFF" w:sz="12" w:space="0"/>
              <w:left w:val="single" w:color="FFFFFF" w:sz="4" w:space="0"/>
              <w:bottom w:val="single" w:color="FFFFFF" w:sz="4" w:space="0"/>
              <w:right w:val="nil"/>
            </w:tcBorders>
            <w:shd w:val="clear" w:color="B5C6EA" w:fill="B5C6EA"/>
            <w:noWrap/>
            <w:vAlign w:val="center"/>
          </w:tcPr>
          <w:p w14:paraId="1F9DE16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7ABBC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1F89A1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EC8B4B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建筑装饰技术</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9618C7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640102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1BF45A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土木建筑大类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EA9C31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建筑设计类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31C4893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0A764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6EBEC77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F0CB16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建筑智能化设备安装与运维</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7EF88C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640401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15EAE1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土木建筑大类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7E18D7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建筑设备类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BA5236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316DA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9A4363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B99C70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建筑工程造价</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610349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640501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0B4FE8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土木建筑大类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1F015C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建设工程管理类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2FC31F6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796FD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5AA8D51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7E97C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数控技术应用</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0A0804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660103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5F23BF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A3E4C4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机械设计制造类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33B285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418FB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302B76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BC88F4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焊接技术应用</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425A57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660105</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950EAE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E42C3A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机械设计制造类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777A515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20EE7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69D6F56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2BA2C6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模具制造技术</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2CBF92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660108</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75830A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B42B05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机械设计制造类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3E2E9D8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1A857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3935450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F1BD0C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智能设备运行与维护</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CC89D3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660201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AE37FB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D9D51B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机电设备类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3C7233A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55D04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D2FF45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4C80AC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电梯安装与维修保养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9F0D53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660206</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8178C1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457680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机电设备类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25BA7EB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65D3E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E4A716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806C32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机电技术应用</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044996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660301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F8249A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BFB974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自动化类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2D3D5D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6C11D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4FF488C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9A9606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电气设备运行与控制</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71D1DB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660302</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357699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3681AD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自动化类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85F1E6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73DFA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2C24BE3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948AB9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工业机器人技术应用</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A55638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660303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CFD2B8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DE301F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自动化类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F1FA9C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3C0F1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627F979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77EE22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无人机操控与维护</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2F3E97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660601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507A86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EA5F29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航空装备类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2CDFD98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44CEF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84F9C0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DCDD7F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汽车制造与检测</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EE0590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660701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4DF769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装备制造大类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9B9EEC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汽车制造类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006543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667D7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39697F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8FB867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化学工艺</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E4A045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670201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383A88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生物与化工大类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2EF0E6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化工技术类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7011E2A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38625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4D056A9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219065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精细化工技术</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5C4337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670203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1617F3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生物与化工大类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777545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化工技术类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CBF6AC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1251E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294C3A5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23ABC2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分析检验技术</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CE1C03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670207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FF693D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生物与化工大类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DEAE9F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化工技术类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46A9FA8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2E63C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9DB5AD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11714E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化工仪表及自动化</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12E83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670209</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12FF2F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生物与化工大类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704545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化工技术类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7894301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2150B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1C81662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2A3D1E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铁道运输服务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FE3E43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700107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27D0D0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DEA0B8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铁道运输类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14B7901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75C9D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0E8A41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7B5A2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高速铁路乘务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B21286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700108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BE443E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5B7642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铁道运输类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EA2AC2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504A3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67F775A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CBC407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汽车运用与维修</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C6A3FF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700206</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94E3D1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2ED509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道路运输类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19D3F3A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52B72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42AB9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9476B4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新能源汽车运用与维修</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BE0B01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700209</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527CC2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B507C3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道路运输类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ADD861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67B08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45C246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990601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航空服务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40C407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700402</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95A03C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147668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航空运输类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39ED8B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2F6B1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2A5B338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EEC0C6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城市轨道交通运营服务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4306DA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700604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3B764D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交通运输大类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D7842D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城市轨道交通类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062C39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2434A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FC2570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BB89D5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电子信息技术</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DD4E6B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710101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CCF83C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C67DEF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电子信息类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76B921C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36E67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5447E8E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CC5B40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电子技术应用</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80D179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710103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4B6F1F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1C0243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电子信息类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333B48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287BC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0D47D0D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E11ED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计算机应用</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F4220E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710201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AF39E2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6372A1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3D59E07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497C2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A27A5C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D20AB7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计算机网络技术</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12224D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710202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6D58AE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85A5A5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3BFB262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1C1D7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4C4DD7E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36000F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软件与信息服务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5ECDB5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710203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57B9BD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18F82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5F5A416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336BA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274D001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BF5778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数字媒体技术应用</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41C590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710204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1E4777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44C24B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04FCA4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0BBB7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043F9A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C63261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大数据技术应用</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14421E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710205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147163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048F69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440B1D1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46AEB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4501CA4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6D9698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计算机平面设计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A98515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710210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C924C7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67DD76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计算机类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133ED65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2FC5B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3468101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9AD1AD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现代通信技术应用</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8DF747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710301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10C2AD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电子与信息大类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E446F6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通信类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75097C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13136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570F30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9786E2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护理</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8B510A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720201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05628F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9FB254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护理类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E15F2B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4F6B8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5ABD90A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28F852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药剂</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DAB195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720301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484F30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ED98AA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药学类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567390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759BC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375D3A7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20192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中医护理</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3C4B73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720402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E65130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A375D5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中医药类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25E8967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3523B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1B1B521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282B27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中药</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D2FFEB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720403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8BB229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0D0858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中医药类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25997D9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095D6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569E6B7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F62439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中医康复技术</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9BE6FC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720408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638010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B92677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中医药类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5A0F0FC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01FD1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4F691E8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29E54A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医学检验技术</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D9B9C5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720501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47F19E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B4626A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医学技术类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19252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3D646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9A2A99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C4D21A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口腔修复工艺</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04F4CF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720504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7E5842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92546A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医学技术类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0363E8E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4DAF9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132D67A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410A8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康复技术</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39FCF9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720601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9F08E1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50FD82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康复治疗类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414722F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2C69F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108D4B9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899FB8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婴幼儿托育</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9F290B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720803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262D74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医药卫生大类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16EADF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健康管理与促进类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27BF295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51833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2B5D97D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618E47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会计事务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2F6F8A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730301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EA75AA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F87D45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财务会计类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755419E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5B809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985CB8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1E6017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市场营销</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01775E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730602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DBE3AE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B43457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工商管理类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542C723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6E69E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2AC42D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45</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89DD14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客户信息服务</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CA374F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730603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BBB03A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C25B9A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工商管理类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154EBD3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617E3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4EFA9A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46</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C26888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电子商务</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16A3D0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730701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80344E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525778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电子商务类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4650B1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231AA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2DD152E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360B62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物流服务与管理</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7D9277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730801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AE2C11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财经商贸大类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CD7D70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物流类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7036637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639A1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7FB0C39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48</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B05EB3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旅游服务与管理</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E0E847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740101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42B93E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旅游大类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76F60F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旅游类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B1B7A7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79751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1A8FF12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49</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A10550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高星级饭店运营与管理</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95542A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740104</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80D604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旅游大类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246CEC3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旅游类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03F3156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2E5B8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2225A88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50</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6BB583E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中餐烹饪</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2D7C8F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740201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1047EA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旅游大类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4CFB55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餐饮类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2185953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56F93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0F5C74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689A5C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绘画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90A9CD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750107</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AC1164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文化艺术大类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7C4331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艺术设计类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14C7BA9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3C348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66C9BA7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52</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0AD833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美容美体艺术</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DFD995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750111</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C56CA0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文化艺术大类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D63DC8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艺术设计类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6FA48F6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6C383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B5C6EA" w:fill="B5C6EA"/>
            <w:noWrap/>
            <w:vAlign w:val="center"/>
          </w:tcPr>
          <w:p w14:paraId="227E934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53</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7A85B07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幼儿保育</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8D60FF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770101</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6B377F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教育与体育大类</w:t>
            </w:r>
          </w:p>
        </w:tc>
        <w:tc>
          <w:tcPr>
            <w:tcW w:w="0" w:type="auto"/>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0F4F2B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教育类</w:t>
            </w:r>
          </w:p>
        </w:tc>
        <w:tc>
          <w:tcPr>
            <w:tcW w:w="0" w:type="auto"/>
            <w:tcBorders>
              <w:top w:val="single" w:color="FFFFFF" w:sz="4" w:space="0"/>
              <w:left w:val="single" w:color="FFFFFF" w:sz="4" w:space="0"/>
              <w:bottom w:val="single" w:color="FFFFFF" w:sz="4" w:space="0"/>
              <w:right w:val="nil"/>
            </w:tcBorders>
            <w:shd w:val="clear" w:color="B5C6EA" w:fill="B5C6EA"/>
            <w:noWrap/>
            <w:vAlign w:val="center"/>
          </w:tcPr>
          <w:p w14:paraId="3AE8CC1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35D90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single" w:color="FFFFFF" w:sz="4" w:space="0"/>
              <w:right w:val="single" w:color="FFFFFF" w:sz="4" w:space="0"/>
            </w:tcBorders>
            <w:shd w:val="clear" w:color="D9E1F4" w:fill="D9E1F4"/>
            <w:noWrap/>
            <w:vAlign w:val="center"/>
          </w:tcPr>
          <w:p w14:paraId="0B79EBF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54</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71FC06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运动训练</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14957E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770303</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0B2911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教育与体育大类</w:t>
            </w:r>
          </w:p>
        </w:tc>
        <w:tc>
          <w:tcPr>
            <w:tcW w:w="0" w:type="auto"/>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8F1CD5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体育类</w:t>
            </w:r>
          </w:p>
        </w:tc>
        <w:tc>
          <w:tcPr>
            <w:tcW w:w="0" w:type="auto"/>
            <w:tcBorders>
              <w:top w:val="single" w:color="FFFFFF" w:sz="4" w:space="0"/>
              <w:left w:val="single" w:color="FFFFFF" w:sz="4" w:space="0"/>
              <w:bottom w:val="single" w:color="FFFFFF" w:sz="4" w:space="0"/>
              <w:right w:val="nil"/>
            </w:tcBorders>
            <w:shd w:val="clear" w:color="D9E1F4" w:fill="D9E1F4"/>
            <w:noWrap/>
            <w:vAlign w:val="center"/>
          </w:tcPr>
          <w:p w14:paraId="4CB6377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0FB79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FFFFFF" w:sz="4" w:space="0"/>
              <w:left w:val="nil"/>
              <w:bottom w:val="nil"/>
              <w:right w:val="single" w:color="FFFFFF" w:sz="4" w:space="0"/>
            </w:tcBorders>
            <w:shd w:val="clear" w:color="B5C6EA" w:fill="B5C6EA"/>
            <w:noWrap/>
            <w:vAlign w:val="center"/>
          </w:tcPr>
          <w:p w14:paraId="3701480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55</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14:paraId="0575BB6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安全保卫服务</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14:paraId="0BB3A7A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780701</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14:paraId="0615A79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公安与司法大类</w:t>
            </w:r>
          </w:p>
        </w:tc>
        <w:tc>
          <w:tcPr>
            <w:tcW w:w="0" w:type="auto"/>
            <w:tcBorders>
              <w:top w:val="single" w:color="FFFFFF" w:sz="4" w:space="0"/>
              <w:left w:val="single" w:color="FFFFFF" w:sz="4" w:space="0"/>
              <w:bottom w:val="nil"/>
              <w:right w:val="single" w:color="FFFFFF" w:sz="4" w:space="0"/>
            </w:tcBorders>
            <w:shd w:val="clear" w:color="B5C6EA" w:fill="B5C6EA"/>
            <w:noWrap/>
            <w:vAlign w:val="center"/>
          </w:tcPr>
          <w:p w14:paraId="19E8FA3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安全防范类</w:t>
            </w:r>
          </w:p>
        </w:tc>
        <w:tc>
          <w:tcPr>
            <w:tcW w:w="0" w:type="auto"/>
            <w:tcBorders>
              <w:top w:val="single" w:color="FFFFFF" w:sz="4" w:space="0"/>
              <w:left w:val="single" w:color="FFFFFF" w:sz="4" w:space="0"/>
              <w:bottom w:val="nil"/>
              <w:right w:val="nil"/>
            </w:tcBorders>
            <w:shd w:val="clear" w:color="B5C6EA" w:fill="B5C6EA"/>
            <w:noWrap/>
            <w:vAlign w:val="center"/>
          </w:tcPr>
          <w:p w14:paraId="0E95425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bl>
    <w:p w14:paraId="7B78D4AB">
      <w:pPr>
        <w:pStyle w:val="16"/>
        <w:ind w:left="0" w:leftChars="0" w:firstLine="0" w:firstLineChars="0"/>
        <w:rPr>
          <w:rFonts w:hint="default"/>
          <w:lang w:val="en-US" w:eastAsia="zh-CN"/>
        </w:rPr>
      </w:pPr>
    </w:p>
    <w:p w14:paraId="2A4DD32E">
      <w:pPr>
        <w:pStyle w:val="36"/>
        <w:bidi w:val="0"/>
        <w:rPr>
          <w:rFonts w:hint="default"/>
          <w:lang w:val="en-US" w:eastAsia="zh-CN"/>
        </w:rPr>
      </w:pPr>
      <w:bookmarkStart w:id="34" w:name="_Toc29082"/>
      <w:bookmarkStart w:id="35" w:name="_Toc12361"/>
      <w:r>
        <w:rPr>
          <w:rFonts w:hint="default"/>
          <w:lang w:val="en-US" w:eastAsia="zh-CN"/>
        </w:rPr>
        <w:t>2.2</w:t>
      </w:r>
      <w:r>
        <w:rPr>
          <w:rFonts w:hint="eastAsia"/>
          <w:lang w:val="en-US" w:eastAsia="zh-CN"/>
        </w:rPr>
        <w:t xml:space="preserve"> </w:t>
      </w:r>
      <w:r>
        <w:rPr>
          <w:rFonts w:hint="default"/>
          <w:lang w:val="en-US" w:eastAsia="zh-CN"/>
        </w:rPr>
        <w:t>立德树人</w:t>
      </w:r>
      <w:bookmarkEnd w:id="34"/>
      <w:bookmarkEnd w:id="35"/>
    </w:p>
    <w:p w14:paraId="062DE773">
      <w:pPr>
        <w:pStyle w:val="16"/>
        <w:rPr>
          <w:rFonts w:hint="default"/>
          <w:lang w:val="en-US" w:eastAsia="zh-CN"/>
        </w:rPr>
      </w:pPr>
      <w:r>
        <w:rPr>
          <w:rFonts w:hint="eastAsia"/>
          <w:lang w:val="en-US" w:eastAsia="zh-CN"/>
        </w:rPr>
        <w:t>2024年，各中职</w:t>
      </w:r>
      <w:r>
        <w:rPr>
          <w:rFonts w:hint="default"/>
          <w:lang w:val="en-US" w:eastAsia="zh-CN"/>
        </w:rPr>
        <w:t>学校</w:t>
      </w:r>
      <w:r>
        <w:rPr>
          <w:rFonts w:hint="eastAsia"/>
          <w:lang w:val="en-US" w:eastAsia="zh-CN"/>
        </w:rPr>
        <w:t>进一步</w:t>
      </w:r>
      <w:r>
        <w:rPr>
          <w:rFonts w:hint="default"/>
          <w:lang w:val="en-US" w:eastAsia="zh-CN"/>
        </w:rPr>
        <w:t>坚持以习近平新时代中国特色社会主义思想为指导，紧紧围绕立德树人根本任务，引导学生树立正确的世界观、人生观和价值观</w:t>
      </w:r>
      <w:r>
        <w:rPr>
          <w:rFonts w:hint="eastAsia"/>
          <w:lang w:val="en-US" w:eastAsia="zh-CN"/>
        </w:rPr>
        <w:t>，厚植爱国主义情怀，培育社会公德和传统道德。让学生自觉</w:t>
      </w:r>
      <w:r>
        <w:rPr>
          <w:rFonts w:hint="default"/>
          <w:lang w:val="en-US" w:eastAsia="zh-CN"/>
        </w:rPr>
        <w:t>把爱国情、强国志、报国行自觉融入坚持和发展中国特色社会主义事业、建设社会主义现代化强国、实现中华民族伟大复兴的奋斗之中。</w:t>
      </w:r>
    </w:p>
    <w:p w14:paraId="53BED63C">
      <w:pPr>
        <w:pStyle w:val="16"/>
        <w:rPr>
          <w:rFonts w:hint="default"/>
          <w:lang w:val="en-US" w:eastAsia="zh-CN"/>
        </w:rPr>
      </w:pPr>
    </w:p>
    <w:p w14:paraId="2E306DC8">
      <w:pPr>
        <w:pStyle w:val="37"/>
        <w:bidi w:val="0"/>
        <w:rPr>
          <w:rFonts w:hint="default"/>
          <w:lang w:val="en-US" w:eastAsia="zh-CN"/>
        </w:rPr>
      </w:pPr>
      <w:bookmarkStart w:id="36" w:name="_Toc9345"/>
      <w:r>
        <w:rPr>
          <w:rFonts w:hint="default"/>
          <w:lang w:val="en-US" w:eastAsia="zh-CN"/>
        </w:rPr>
        <w:t>案例</w:t>
      </w:r>
      <w:r>
        <w:rPr>
          <w:rFonts w:hint="eastAsia"/>
          <w:lang w:val="en-US" w:eastAsia="zh-CN"/>
        </w:rPr>
        <w:t>1</w:t>
      </w:r>
      <w:r>
        <w:rPr>
          <w:rFonts w:hint="default"/>
          <w:lang w:val="en-US" w:eastAsia="zh-CN"/>
        </w:rPr>
        <w:t>：</w:t>
      </w:r>
      <w:r>
        <w:rPr>
          <w:rFonts w:hint="eastAsia"/>
          <w:lang w:val="en-US" w:eastAsia="zh-CN"/>
        </w:rPr>
        <w:t>九江</w:t>
      </w:r>
      <w:r>
        <w:rPr>
          <w:rFonts w:hint="default"/>
          <w:lang w:val="en-US" w:eastAsia="zh-CN"/>
        </w:rPr>
        <w:t>科技中专开创学校思想政治教育工作新局面</w:t>
      </w:r>
      <w:bookmarkEnd w:id="36"/>
    </w:p>
    <w:p w14:paraId="4C80B71F">
      <w:pPr>
        <w:pStyle w:val="39"/>
        <w:bidi w:val="0"/>
        <w:rPr>
          <w:rFonts w:hint="default"/>
          <w:lang w:val="en-US" w:eastAsia="zh-CN"/>
        </w:rPr>
      </w:pPr>
      <w:r>
        <w:rPr>
          <w:rFonts w:hint="default"/>
          <w:lang w:val="en-US" w:eastAsia="zh-CN"/>
        </w:rPr>
        <w:t>学校充分利用九江地区的红色资源优势，深化“大思政课”课程建设，并积极发挥思政教研组的引领作用。通过定期开展教师培训和教学研究活动，以及组织各类竞赛，不断提升教师的专业素养和教学水平。全体教师以高度的责任感和使命感，积极参与到学校的各项改革和发展中，为实现教育强省的目标贡献力量。</w:t>
      </w:r>
    </w:p>
    <w:p w14:paraId="684B5C86">
      <w:pPr>
        <w:pStyle w:val="39"/>
        <w:bidi w:val="0"/>
        <w:rPr>
          <w:rFonts w:hint="default"/>
          <w:lang w:val="en-US" w:eastAsia="zh-CN"/>
        </w:rPr>
      </w:pPr>
      <w:r>
        <w:rPr>
          <w:rFonts w:hint="default"/>
          <w:lang w:val="en-US" w:eastAsia="zh-CN"/>
        </w:rPr>
        <w:t>学校教务处组织教师学习了马克思主义宗教观和无神论，增强了大家对宗教事务管理法治化、规范化的认识。未来，我们将继续加强相关知识的学习培训，确保校园环境和谐稳定，为学生的健康成长提供坚实保障。</w:t>
      </w:r>
    </w:p>
    <w:p w14:paraId="766792BF">
      <w:pPr>
        <w:pStyle w:val="39"/>
        <w:bidi w:val="0"/>
        <w:rPr>
          <w:rFonts w:hint="default"/>
          <w:lang w:val="en-US" w:eastAsia="zh-CN"/>
        </w:rPr>
      </w:pPr>
      <w:r>
        <w:rPr>
          <w:rFonts w:hint="default"/>
          <w:lang w:val="en-US" w:eastAsia="zh-CN"/>
        </w:rPr>
        <w:t>本学期开学初，教务处组织全校师生观看了江西教育电视台播放的《长征精神之美》特别节目、CCTV-1的《开学第一课》以及全省技工院校开展的“工匠传承，职引未来”直播节目，取得了良好的教育效果。</w:t>
      </w:r>
    </w:p>
    <w:p w14:paraId="34FE917E">
      <w:pPr>
        <w:pStyle w:val="39"/>
        <w:bidi w:val="0"/>
        <w:rPr>
          <w:rFonts w:hint="default"/>
          <w:lang w:val="en-US" w:eastAsia="zh-CN"/>
        </w:rPr>
      </w:pPr>
      <w:r>
        <w:rPr>
          <w:rFonts w:hint="default"/>
          <w:lang w:val="en-US" w:eastAsia="zh-CN"/>
        </w:rPr>
        <w:t>9月13日，我们邀请了九江高级技工学校党总支书记曹文新进行开学第一课——“抗洪精神宣讲”活动。本次活动采用钉钉直播方式，实现了线上线下的同步授课，全校师生共同参与，反响热烈。</w:t>
      </w:r>
    </w:p>
    <w:p w14:paraId="63098494">
      <w:pPr>
        <w:pStyle w:val="39"/>
        <w:bidi w:val="0"/>
        <w:rPr>
          <w:rFonts w:hint="default"/>
          <w:lang w:val="en-US" w:eastAsia="zh-CN"/>
        </w:rPr>
      </w:pPr>
      <w:r>
        <w:rPr>
          <w:rFonts w:hint="default"/>
          <w:lang w:val="en-US" w:eastAsia="zh-CN"/>
        </w:rPr>
        <w:t>10月21日，教务处联合校团委和思政教研室召开了本学期的思政教研会议。会议内容丰富，包括学习习近平总书记的重要讲话和全国教育大会精神，对思政教学工作提出明确要求，并强调了立德树人的根本任务。创新了教学方法，以提高思政课的吸引力和感染力。此外，会议还决定开展思政教师与团委的结对活动，共同推动校园文化的繁荣发展。</w:t>
      </w:r>
    </w:p>
    <w:p w14:paraId="19F17768">
      <w:pPr>
        <w:pStyle w:val="39"/>
        <w:bidi w:val="0"/>
        <w:rPr>
          <w:rFonts w:hint="default"/>
          <w:lang w:val="en-US" w:eastAsia="zh-CN"/>
        </w:rPr>
      </w:pPr>
      <w:r>
        <w:rPr>
          <w:rFonts w:hint="default"/>
          <w:lang w:val="en-US" w:eastAsia="zh-CN"/>
        </w:rPr>
        <w:t>11月22日下午，教务处组织思政教师参加了学校开展的“让抗洪精神绽放时代光芒”宣讲活动，进一步弘扬了抗洪精神。</w:t>
      </w:r>
    </w:p>
    <w:p w14:paraId="06BD6F7D">
      <w:pPr>
        <w:pStyle w:val="39"/>
        <w:bidi w:val="0"/>
        <w:rPr>
          <w:rFonts w:hint="default"/>
          <w:lang w:val="en-US" w:eastAsia="zh-CN"/>
        </w:rPr>
      </w:pPr>
    </w:p>
    <w:p w14:paraId="03A44933">
      <w:pPr>
        <w:widowControl w:val="0"/>
        <w:spacing w:line="108" w:lineRule="auto"/>
        <w:ind w:left="0" w:leftChars="0" w:firstLine="0" w:firstLineChars="0"/>
        <w:jc w:val="center"/>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drawing>
          <wp:inline distT="0" distB="0" distL="114300" distR="114300">
            <wp:extent cx="5219700" cy="39147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9"/>
                    <a:stretch>
                      <a:fillRect/>
                    </a:stretch>
                  </pic:blipFill>
                  <pic:spPr>
                    <a:xfrm>
                      <a:off x="0" y="0"/>
                      <a:ext cx="5219700" cy="3914775"/>
                    </a:xfrm>
                    <a:prstGeom prst="rect">
                      <a:avLst/>
                    </a:prstGeom>
                    <a:noFill/>
                    <a:ln>
                      <a:noFill/>
                    </a:ln>
                  </pic:spPr>
                </pic:pic>
              </a:graphicData>
            </a:graphic>
          </wp:inline>
        </w:drawing>
      </w:r>
    </w:p>
    <w:p w14:paraId="57D1C168">
      <w:pPr>
        <w:widowControl w:val="0"/>
        <w:spacing w:line="108" w:lineRule="auto"/>
        <w:ind w:left="0" w:leftChars="0" w:firstLine="0" w:firstLineChars="0"/>
        <w:jc w:val="center"/>
        <w:rPr>
          <w:rFonts w:hint="default" w:ascii="楷体_GB2312" w:hAnsi="楷体_GB2312" w:eastAsia="楷体" w:cs="楷体_GB2312"/>
          <w:b/>
          <w:bCs/>
          <w:snapToGrid w:val="0"/>
          <w:color w:val="000000"/>
          <w:kern w:val="0"/>
          <w:position w:val="-5"/>
          <w:sz w:val="28"/>
          <w:szCs w:val="28"/>
          <w:lang w:val="en-US" w:eastAsia="zh-CN" w:bidi="ar-SA"/>
        </w:rPr>
      </w:pPr>
      <w:r>
        <w:rPr>
          <w:rFonts w:hint="eastAsia" w:ascii="楷体_GB2312" w:hAnsi="楷体_GB2312" w:eastAsia="楷体" w:cs="楷体_GB2312"/>
          <w:b/>
          <w:bCs/>
          <w:snapToGrid w:val="0"/>
          <w:color w:val="000000"/>
          <w:kern w:val="0"/>
          <w:position w:val="-5"/>
          <w:sz w:val="28"/>
          <w:szCs w:val="28"/>
          <w:lang w:val="en-US" w:eastAsia="zh-CN" w:bidi="ar-SA"/>
        </w:rPr>
        <w:t>图1：湖口中职21届毕业生成人礼活动</w:t>
      </w:r>
    </w:p>
    <w:p w14:paraId="1E5BE26E">
      <w:pPr>
        <w:pStyle w:val="39"/>
        <w:bidi w:val="0"/>
        <w:rPr>
          <w:rFonts w:hint="default"/>
          <w:lang w:val="en-US" w:eastAsia="zh-CN"/>
        </w:rPr>
      </w:pPr>
    </w:p>
    <w:p w14:paraId="1013CA55">
      <w:pPr>
        <w:pStyle w:val="36"/>
        <w:bidi w:val="0"/>
        <w:rPr>
          <w:rFonts w:hint="default"/>
          <w:lang w:val="en-US" w:eastAsia="zh-CN"/>
        </w:rPr>
      </w:pPr>
      <w:bookmarkStart w:id="37" w:name="_Toc27711"/>
      <w:bookmarkStart w:id="38" w:name="_Toc20976"/>
      <w:r>
        <w:rPr>
          <w:rFonts w:hint="default"/>
          <w:lang w:val="en-US" w:eastAsia="zh-CN"/>
        </w:rPr>
        <w:t>2.3</w:t>
      </w:r>
      <w:r>
        <w:rPr>
          <w:rFonts w:hint="eastAsia"/>
          <w:lang w:val="en-US" w:eastAsia="zh-CN"/>
        </w:rPr>
        <w:t xml:space="preserve"> </w:t>
      </w:r>
      <w:r>
        <w:rPr>
          <w:rFonts w:hint="default"/>
          <w:lang w:val="en-US" w:eastAsia="zh-CN"/>
        </w:rPr>
        <w:t>在校体验</w:t>
      </w:r>
      <w:bookmarkEnd w:id="37"/>
      <w:bookmarkEnd w:id="38"/>
    </w:p>
    <w:p w14:paraId="1E96B6A8">
      <w:pPr>
        <w:pStyle w:val="16"/>
        <w:rPr>
          <w:rFonts w:hint="default"/>
          <w:lang w:val="en-US" w:eastAsia="zh-CN"/>
        </w:rPr>
      </w:pPr>
      <w:r>
        <w:rPr>
          <w:rFonts w:hint="default"/>
          <w:lang w:val="en-US" w:eastAsia="zh-CN"/>
        </w:rPr>
        <w:t>全市</w:t>
      </w:r>
      <w:r>
        <w:rPr>
          <w:rFonts w:hint="eastAsia"/>
          <w:lang w:val="en-US" w:eastAsia="zh-CN"/>
        </w:rPr>
        <w:t>各</w:t>
      </w:r>
      <w:r>
        <w:rPr>
          <w:rFonts w:hint="default"/>
          <w:lang w:val="en-US" w:eastAsia="zh-CN"/>
        </w:rPr>
        <w:t>中职学校积极营造良好的校园氛围，保障学生良好学习环境，为师生提供优质的服务，打造健康、向上、积极的校园文化，让师生在工作和学习中享受快乐。</w:t>
      </w:r>
    </w:p>
    <w:p w14:paraId="4ECD4EF4">
      <w:pPr>
        <w:pStyle w:val="16"/>
        <w:rPr>
          <w:rFonts w:hint="default"/>
          <w:lang w:val="en-US" w:eastAsia="zh-CN"/>
        </w:rPr>
      </w:pPr>
    </w:p>
    <w:p w14:paraId="10CF2B9B">
      <w:pPr>
        <w:pStyle w:val="16"/>
        <w:ind w:left="0" w:leftChars="0" w:firstLine="0" w:firstLineChars="0"/>
        <w:jc w:val="center"/>
        <w:rPr>
          <w:rFonts w:hint="eastAsia" w:ascii="楷体_GB2312" w:hAnsi="楷体_GB2312" w:eastAsia="楷体" w:cs="楷体_GB2312"/>
          <w:b/>
          <w:bCs/>
          <w:snapToGrid w:val="0"/>
          <w:color w:val="000000"/>
          <w:kern w:val="0"/>
          <w:position w:val="-5"/>
          <w:sz w:val="28"/>
          <w:szCs w:val="28"/>
          <w:lang w:val="en-US" w:eastAsia="zh-CN" w:bidi="ar-SA"/>
        </w:rPr>
      </w:pPr>
      <w:r>
        <w:rPr>
          <w:rFonts w:hint="eastAsia" w:ascii="仿宋" w:hAnsi="仿宋" w:eastAsia="仿宋" w:cs="仿宋"/>
          <w:sz w:val="28"/>
          <w:szCs w:val="28"/>
          <w:lang w:val="en-US" w:eastAsia="zh-CN"/>
        </w:rPr>
        <w:drawing>
          <wp:inline distT="0" distB="0" distL="114300" distR="114300">
            <wp:extent cx="5219700" cy="3480435"/>
            <wp:effectExtent l="0" t="0" r="0" b="5715"/>
            <wp:docPr id="27" name="图片 12" descr="简篇-未来我来，为梦而歌——彭泽中专第六届校园十佳歌手大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descr="简篇-未来我来，为梦而歌——彭泽中专第六届校园十佳歌手大赛"/>
                    <pic:cNvPicPr>
                      <a:picLocks noChangeAspect="1"/>
                    </pic:cNvPicPr>
                  </pic:nvPicPr>
                  <pic:blipFill>
                    <a:blip r:embed="rId10"/>
                    <a:stretch>
                      <a:fillRect/>
                    </a:stretch>
                  </pic:blipFill>
                  <pic:spPr>
                    <a:xfrm>
                      <a:off x="0" y="0"/>
                      <a:ext cx="5219700" cy="3480435"/>
                    </a:xfrm>
                    <a:prstGeom prst="rect">
                      <a:avLst/>
                    </a:prstGeom>
                    <a:noFill/>
                    <a:ln w="9525">
                      <a:noFill/>
                    </a:ln>
                  </pic:spPr>
                </pic:pic>
              </a:graphicData>
            </a:graphic>
          </wp:inline>
        </w:drawing>
      </w:r>
      <w:r>
        <w:rPr>
          <w:rFonts w:hint="eastAsia" w:ascii="楷体_GB2312" w:hAnsi="楷体_GB2312" w:eastAsia="楷体" w:cs="楷体_GB2312"/>
          <w:b/>
          <w:bCs/>
          <w:snapToGrid w:val="0"/>
          <w:color w:val="000000"/>
          <w:kern w:val="0"/>
          <w:position w:val="-5"/>
          <w:sz w:val="28"/>
          <w:szCs w:val="28"/>
          <w:lang w:val="en-US" w:eastAsia="zh-CN" w:bidi="ar-SA"/>
        </w:rPr>
        <w:t>图2：彭泽中专第六届校园十佳歌手大赛</w:t>
      </w:r>
    </w:p>
    <w:p w14:paraId="639A9CB2">
      <w:pPr>
        <w:pStyle w:val="16"/>
        <w:ind w:left="0" w:leftChars="0" w:firstLine="0" w:firstLineChars="0"/>
        <w:jc w:val="center"/>
        <w:rPr>
          <w:rFonts w:hint="eastAsia"/>
          <w:lang w:val="en-US" w:eastAsia="zh-CN"/>
        </w:rPr>
      </w:pPr>
      <w:r>
        <w:rPr>
          <w:rFonts w:hint="eastAsia"/>
          <w:lang w:val="en-US" w:eastAsia="zh-CN"/>
        </w:rPr>
        <w:drawing>
          <wp:inline distT="0" distB="0" distL="114300" distR="114300">
            <wp:extent cx="5219700" cy="3292475"/>
            <wp:effectExtent l="0" t="0" r="0" b="3175"/>
            <wp:docPr id="55" name="图片 55" descr="8df3339a8702cad7fe0424da5a4b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8df3339a8702cad7fe0424da5a4b141"/>
                    <pic:cNvPicPr>
                      <a:picLocks noChangeAspect="1"/>
                    </pic:cNvPicPr>
                  </pic:nvPicPr>
                  <pic:blipFill>
                    <a:blip r:embed="rId11"/>
                    <a:stretch>
                      <a:fillRect/>
                    </a:stretch>
                  </pic:blipFill>
                  <pic:spPr>
                    <a:xfrm>
                      <a:off x="0" y="0"/>
                      <a:ext cx="5219700" cy="3292475"/>
                    </a:xfrm>
                    <a:prstGeom prst="rect">
                      <a:avLst/>
                    </a:prstGeom>
                  </pic:spPr>
                </pic:pic>
              </a:graphicData>
            </a:graphic>
          </wp:inline>
        </w:drawing>
      </w:r>
    </w:p>
    <w:p w14:paraId="6424850E">
      <w:pPr>
        <w:pStyle w:val="16"/>
        <w:ind w:left="0" w:leftChars="0" w:firstLine="0" w:firstLineChars="0"/>
        <w:jc w:val="center"/>
        <w:rPr>
          <w:rFonts w:hint="default" w:ascii="楷体_GB2312" w:hAnsi="楷体_GB2312" w:eastAsia="楷体" w:cs="楷体_GB2312"/>
          <w:b/>
          <w:bCs/>
          <w:snapToGrid w:val="0"/>
          <w:color w:val="000000"/>
          <w:kern w:val="0"/>
          <w:position w:val="-5"/>
          <w:sz w:val="28"/>
          <w:szCs w:val="28"/>
          <w:lang w:val="en-US" w:eastAsia="zh-CN" w:bidi="ar-SA"/>
        </w:rPr>
      </w:pPr>
      <w:r>
        <w:rPr>
          <w:rFonts w:hint="eastAsia" w:ascii="楷体_GB2312" w:hAnsi="楷体_GB2312" w:eastAsia="楷体" w:cs="楷体_GB2312"/>
          <w:b/>
          <w:bCs/>
          <w:snapToGrid w:val="0"/>
          <w:color w:val="000000"/>
          <w:kern w:val="0"/>
          <w:position w:val="-5"/>
          <w:sz w:val="28"/>
          <w:szCs w:val="28"/>
          <w:lang w:val="en-US" w:eastAsia="zh-CN" w:bidi="ar-SA"/>
        </w:rPr>
        <w:t>图n：修水中专</w:t>
      </w:r>
      <w:r>
        <w:rPr>
          <w:rFonts w:hint="default" w:ascii="楷体_GB2312" w:hAnsi="楷体_GB2312" w:eastAsia="楷体" w:cs="楷体_GB2312"/>
          <w:b/>
          <w:bCs/>
          <w:snapToGrid w:val="0"/>
          <w:color w:val="000000"/>
          <w:kern w:val="0"/>
          <w:position w:val="-5"/>
          <w:sz w:val="28"/>
          <w:szCs w:val="28"/>
          <w:lang w:val="en-US" w:eastAsia="zh-CN" w:bidi="ar-SA"/>
        </w:rPr>
        <w:t>图书馆阅读区</w:t>
      </w:r>
    </w:p>
    <w:p w14:paraId="336F2B09">
      <w:pPr>
        <w:widowControl w:val="0"/>
        <w:spacing w:line="108" w:lineRule="auto"/>
        <w:ind w:firstLine="640" w:firstLineChars="200"/>
        <w:jc w:val="both"/>
        <w:rPr>
          <w:rFonts w:hint="default" w:ascii="宋体" w:hAnsi="宋体" w:eastAsia="仿宋_GB2312" w:cs="Times New Roman"/>
          <w:kern w:val="2"/>
          <w:sz w:val="32"/>
          <w:szCs w:val="24"/>
          <w:lang w:val="en-US" w:eastAsia="zh-CN" w:bidi="ar-SA"/>
        </w:rPr>
      </w:pPr>
      <w:r>
        <w:rPr>
          <w:rFonts w:hint="eastAsia" w:ascii="宋体" w:hAnsi="宋体" w:eastAsia="仿宋_GB2312" w:cs="Times New Roman"/>
          <w:kern w:val="2"/>
          <w:sz w:val="32"/>
          <w:szCs w:val="24"/>
          <w:lang w:val="en-US" w:eastAsia="zh-CN" w:bidi="ar-SA"/>
        </w:rPr>
        <w:t>2024年各中职学校参加国家学生体质健康标准测试人数35155人，测评合格率93.08%。</w:t>
      </w:r>
    </w:p>
    <w:p w14:paraId="37A3185F">
      <w:pPr>
        <w:pStyle w:val="16"/>
        <w:ind w:left="0" w:leftChars="0" w:firstLine="0" w:firstLineChars="0"/>
        <w:jc w:val="center"/>
        <w:rPr>
          <w:rFonts w:hint="default" w:ascii="楷体_GB2312" w:hAnsi="楷体_GB2312" w:eastAsia="楷体" w:cs="楷体_GB2312"/>
          <w:b/>
          <w:bCs/>
          <w:snapToGrid w:val="0"/>
          <w:color w:val="000000"/>
          <w:kern w:val="0"/>
          <w:position w:val="-5"/>
          <w:sz w:val="28"/>
          <w:szCs w:val="28"/>
          <w:lang w:val="en-US" w:eastAsia="zh-CN" w:bidi="ar-SA"/>
        </w:rPr>
      </w:pPr>
    </w:p>
    <w:p w14:paraId="1F6015A6">
      <w:pPr>
        <w:pStyle w:val="16"/>
        <w:ind w:left="0" w:leftChars="0" w:firstLine="0" w:firstLineChars="0"/>
        <w:jc w:val="center"/>
        <w:rPr>
          <w:rFonts w:ascii="宋体" w:hAnsi="宋体"/>
        </w:rPr>
      </w:pPr>
      <w:r>
        <w:rPr>
          <w:rFonts w:hint="eastAsia" w:ascii="Calibri" w:hAnsi="Calibri" w:eastAsia="宋体" w:cs="Times New Roman"/>
          <w:b/>
          <w:bCs/>
          <w:snapToGrid/>
          <w:kern w:val="2"/>
          <w:sz w:val="28"/>
          <w:szCs w:val="22"/>
          <w:lang w:val="en-US" w:eastAsia="zh-CN"/>
        </w:rPr>
        <w:drawing>
          <wp:inline distT="0" distB="0" distL="114300" distR="114300">
            <wp:extent cx="5219700" cy="3479165"/>
            <wp:effectExtent l="0" t="0" r="0" b="6985"/>
            <wp:docPr id="9" name="图片 9" descr="ca655ca07aad66dcc8d9209ff8e6d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a655ca07aad66dcc8d9209ff8e6d38"/>
                    <pic:cNvPicPr>
                      <a:picLocks noChangeAspect="1"/>
                    </pic:cNvPicPr>
                  </pic:nvPicPr>
                  <pic:blipFill>
                    <a:blip r:embed="rId12"/>
                    <a:stretch>
                      <a:fillRect/>
                    </a:stretch>
                  </pic:blipFill>
                  <pic:spPr>
                    <a:xfrm>
                      <a:off x="0" y="0"/>
                      <a:ext cx="5219700" cy="3479165"/>
                    </a:xfrm>
                    <a:prstGeom prst="rect">
                      <a:avLst/>
                    </a:prstGeom>
                    <a:noFill/>
                    <a:ln>
                      <a:noFill/>
                    </a:ln>
                  </pic:spPr>
                </pic:pic>
              </a:graphicData>
            </a:graphic>
          </wp:inline>
        </w:drawing>
      </w:r>
    </w:p>
    <w:p w14:paraId="23840CA4">
      <w:pPr>
        <w:pStyle w:val="40"/>
        <w:bidi w:val="0"/>
        <w:rPr>
          <w:rFonts w:hint="default"/>
          <w:lang w:val="en-US" w:eastAsia="zh-CN"/>
        </w:rPr>
      </w:pPr>
      <w:bookmarkStart w:id="39" w:name="_Toc778"/>
      <w:r>
        <w:rPr>
          <w:rFonts w:hint="eastAsia"/>
          <w:lang w:val="en-US" w:eastAsia="zh-CN"/>
        </w:rPr>
        <w:t>图1：永修中专学校升旗仪式</w:t>
      </w:r>
      <w:bookmarkEnd w:id="39"/>
    </w:p>
    <w:p w14:paraId="00393F0B">
      <w:pPr>
        <w:pStyle w:val="16"/>
        <w:rPr>
          <w:rFonts w:hint="default"/>
          <w:lang w:val="en-US" w:eastAsia="zh-CN"/>
        </w:rPr>
      </w:pPr>
      <w:r>
        <w:rPr>
          <w:rFonts w:hint="default"/>
          <w:lang w:val="en-US" w:eastAsia="zh-CN"/>
        </w:rPr>
        <w:t>通过召开学生代表座谈会、问卷调查、网络征集、电话调查等方式，及时掌握、评估在校学生对课堂育人、思想政治课、公共基础课、专业课教学等满意程度。通过问卷调查、网络征集、电话调查等方式对教职工、毕业生、用人单位以及学生家长满意程度进行了调查测评。从调查结果看，在校生、毕业生、教职工、用人单位和家长各项满</w:t>
      </w:r>
      <w:r>
        <w:rPr>
          <w:rFonts w:hint="eastAsia"/>
          <w:lang w:val="en-US" w:eastAsia="zh-CN"/>
        </w:rPr>
        <w:t>意度</w:t>
      </w:r>
      <w:r>
        <w:rPr>
          <w:rFonts w:hint="default"/>
          <w:lang w:val="en-US" w:eastAsia="zh-CN"/>
        </w:rPr>
        <w:t>总体处于良好水平。</w:t>
      </w:r>
    </w:p>
    <w:p w14:paraId="17927B25">
      <w:pPr>
        <w:pStyle w:val="16"/>
        <w:rPr>
          <w:rFonts w:hint="default"/>
          <w:lang w:val="en-US" w:eastAsia="zh-CN"/>
        </w:rPr>
      </w:pPr>
    </w:p>
    <w:p w14:paraId="721AB1AB">
      <w:pPr>
        <w:pStyle w:val="16"/>
        <w:rPr>
          <w:rFonts w:hint="default"/>
          <w:lang w:val="en-US" w:eastAsia="zh-CN"/>
        </w:rPr>
      </w:pPr>
    </w:p>
    <w:p w14:paraId="6044A76C">
      <w:pPr>
        <w:pStyle w:val="16"/>
        <w:rPr>
          <w:rFonts w:hint="default"/>
          <w:lang w:val="en-US" w:eastAsia="zh-CN"/>
        </w:rPr>
      </w:pPr>
    </w:p>
    <w:p w14:paraId="2DC43632">
      <w:pPr>
        <w:pStyle w:val="16"/>
        <w:rPr>
          <w:rFonts w:hint="default"/>
          <w:lang w:val="en-US" w:eastAsia="zh-CN"/>
        </w:rPr>
      </w:pPr>
    </w:p>
    <w:p w14:paraId="1C2B0448">
      <w:pPr>
        <w:pStyle w:val="38"/>
        <w:bidi w:val="0"/>
        <w:rPr>
          <w:rFonts w:hint="default"/>
          <w:lang w:val="en-US" w:eastAsia="zh-CN"/>
        </w:rPr>
      </w:pPr>
      <w:bookmarkStart w:id="40" w:name="_Toc7780"/>
      <w:r>
        <w:rPr>
          <w:rFonts w:hint="eastAsia"/>
          <w:lang w:val="en-US" w:eastAsia="zh-CN"/>
        </w:rPr>
        <w:t>表5：满意度调查（综合）一览表</w:t>
      </w:r>
      <w:bookmarkEnd w:id="40"/>
    </w:p>
    <w:tbl>
      <w:tblPr>
        <w:tblStyle w:val="13"/>
        <w:tblW w:w="9109" w:type="dxa"/>
        <w:tblInd w:w="-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15"/>
        <w:gridCol w:w="4856"/>
        <w:gridCol w:w="1349"/>
        <w:gridCol w:w="1389"/>
      </w:tblGrid>
      <w:tr w14:paraId="02438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15" w:type="dxa"/>
            <w:tcBorders>
              <w:top w:val="nil"/>
              <w:left w:val="nil"/>
              <w:bottom w:val="single" w:color="FFFFFF" w:sz="12" w:space="0"/>
              <w:right w:val="single" w:color="FFFFFF" w:sz="4" w:space="0"/>
            </w:tcBorders>
            <w:shd w:val="clear" w:color="4874CB" w:fill="4874CB"/>
            <w:noWrap/>
            <w:vAlign w:val="center"/>
          </w:tcPr>
          <w:p w14:paraId="51DA2BA4">
            <w:pPr>
              <w:keepNext w:val="0"/>
              <w:keepLines w:val="0"/>
              <w:widowControl/>
              <w:suppressLineNumbers w:val="0"/>
              <w:jc w:val="center"/>
              <w:textAlignment w:val="center"/>
              <w:rPr>
                <w:rFonts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调查对象</w:t>
            </w:r>
          </w:p>
        </w:tc>
        <w:tc>
          <w:tcPr>
            <w:tcW w:w="4856" w:type="dxa"/>
            <w:tcBorders>
              <w:top w:val="nil"/>
              <w:left w:val="single" w:color="FFFFFF" w:sz="4" w:space="0"/>
              <w:bottom w:val="single" w:color="FFFFFF" w:sz="12" w:space="0"/>
              <w:right w:val="single" w:color="FFFFFF" w:sz="4" w:space="0"/>
            </w:tcBorders>
            <w:shd w:val="clear" w:color="4874CB" w:fill="4874CB"/>
            <w:noWrap/>
            <w:vAlign w:val="center"/>
          </w:tcPr>
          <w:p w14:paraId="2D37F440">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指标</w:t>
            </w:r>
          </w:p>
        </w:tc>
        <w:tc>
          <w:tcPr>
            <w:tcW w:w="1349" w:type="dxa"/>
            <w:tcBorders>
              <w:top w:val="nil"/>
              <w:left w:val="single" w:color="FFFFFF" w:sz="4" w:space="0"/>
              <w:bottom w:val="single" w:color="FFFFFF" w:sz="12" w:space="0"/>
              <w:right w:val="single" w:color="FFFFFF" w:sz="4" w:space="0"/>
            </w:tcBorders>
            <w:shd w:val="clear" w:color="4874CB" w:fill="4874CB"/>
            <w:vAlign w:val="center"/>
          </w:tcPr>
          <w:p w14:paraId="6F4FF303">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满意度（%）</w:t>
            </w:r>
          </w:p>
        </w:tc>
        <w:tc>
          <w:tcPr>
            <w:tcW w:w="1389" w:type="dxa"/>
            <w:tcBorders>
              <w:top w:val="nil"/>
              <w:left w:val="single" w:color="FFFFFF" w:sz="4" w:space="0"/>
              <w:bottom w:val="single" w:color="FFFFFF" w:sz="12" w:space="0"/>
              <w:right w:val="nil"/>
            </w:tcBorders>
            <w:shd w:val="clear" w:color="4874CB" w:fill="4874CB"/>
            <w:noWrap/>
            <w:vAlign w:val="center"/>
          </w:tcPr>
          <w:p w14:paraId="4FF41E66">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调查人次</w:t>
            </w:r>
          </w:p>
        </w:tc>
      </w:tr>
      <w:tr w14:paraId="07BE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515" w:type="dxa"/>
            <w:vMerge w:val="restart"/>
            <w:tcBorders>
              <w:top w:val="single" w:color="FFFFFF" w:sz="12" w:space="0"/>
              <w:left w:val="nil"/>
              <w:bottom w:val="single" w:color="FFFFFF" w:sz="4" w:space="0"/>
              <w:right w:val="single" w:color="FFFFFF" w:sz="4" w:space="0"/>
            </w:tcBorders>
            <w:shd w:val="clear" w:color="B5C6EA" w:fill="B5C6EA"/>
            <w:noWrap/>
            <w:vAlign w:val="center"/>
          </w:tcPr>
          <w:p w14:paraId="212E6C5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在校生</w:t>
            </w:r>
          </w:p>
        </w:tc>
        <w:tc>
          <w:tcPr>
            <w:tcW w:w="4856" w:type="dxa"/>
            <w:tcBorders>
              <w:top w:val="single" w:color="FFFFFF" w:sz="12" w:space="0"/>
              <w:left w:val="single" w:color="FFFFFF" w:sz="4" w:space="0"/>
              <w:bottom w:val="single" w:color="FFFFFF" w:sz="4" w:space="0"/>
              <w:right w:val="single" w:color="FFFFFF" w:sz="4" w:space="0"/>
            </w:tcBorders>
            <w:shd w:val="clear" w:color="B5C6EA" w:fill="B5C6EA"/>
            <w:noWrap/>
            <w:vAlign w:val="center"/>
          </w:tcPr>
          <w:p w14:paraId="45B0BE2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在校生满意度</w:t>
            </w:r>
          </w:p>
        </w:tc>
        <w:tc>
          <w:tcPr>
            <w:tcW w:w="1349" w:type="dxa"/>
            <w:tcBorders>
              <w:top w:val="single" w:color="FFFFFF" w:sz="12" w:space="0"/>
              <w:left w:val="single" w:color="FFFFFF" w:sz="4" w:space="0"/>
              <w:bottom w:val="single" w:color="FFFFFF" w:sz="4" w:space="0"/>
              <w:right w:val="single" w:color="FFFFFF" w:sz="4" w:space="0"/>
            </w:tcBorders>
            <w:shd w:val="clear" w:color="B5C6EA" w:fill="B5C6EA"/>
            <w:vAlign w:val="center"/>
          </w:tcPr>
          <w:p w14:paraId="7C87CEC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90.72</w:t>
            </w:r>
          </w:p>
        </w:tc>
        <w:tc>
          <w:tcPr>
            <w:tcW w:w="1389" w:type="dxa"/>
            <w:tcBorders>
              <w:top w:val="single" w:color="FFFFFF" w:sz="12" w:space="0"/>
              <w:left w:val="single" w:color="FFFFFF" w:sz="4" w:space="0"/>
              <w:bottom w:val="single" w:color="FFFFFF" w:sz="4" w:space="0"/>
              <w:right w:val="nil"/>
            </w:tcBorders>
            <w:shd w:val="clear" w:color="B5C6EA" w:fill="B5C6EA"/>
            <w:noWrap/>
            <w:vAlign w:val="center"/>
          </w:tcPr>
          <w:p w14:paraId="633D981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10907</w:t>
            </w:r>
          </w:p>
        </w:tc>
      </w:tr>
      <w:tr w14:paraId="66592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515" w:type="dxa"/>
            <w:vMerge w:val="continue"/>
            <w:tcBorders>
              <w:top w:val="single" w:color="FFFFFF" w:sz="12" w:space="0"/>
              <w:left w:val="nil"/>
              <w:bottom w:val="single" w:color="FFFFFF" w:sz="4" w:space="0"/>
              <w:right w:val="single" w:color="FFFFFF" w:sz="4" w:space="0"/>
            </w:tcBorders>
            <w:shd w:val="clear" w:color="B5C6EA" w:fill="B5C6EA"/>
            <w:noWrap/>
            <w:vAlign w:val="center"/>
          </w:tcPr>
          <w:p w14:paraId="22B07747">
            <w:pPr>
              <w:jc w:val="center"/>
              <w:rPr>
                <w:rFonts w:hint="eastAsia" w:ascii="仿宋_GB2312" w:hAnsi="宋体" w:eastAsia="仿宋_GB2312" w:cs="仿宋_GB2312"/>
                <w:i w:val="0"/>
                <w:iCs w:val="0"/>
                <w:color w:val="000000"/>
                <w:sz w:val="24"/>
                <w:szCs w:val="24"/>
                <w:u w:val="none"/>
              </w:rPr>
            </w:pPr>
          </w:p>
        </w:tc>
        <w:tc>
          <w:tcPr>
            <w:tcW w:w="4856"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AA461B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其中：课堂育人满意度</w:t>
            </w:r>
          </w:p>
        </w:tc>
        <w:tc>
          <w:tcPr>
            <w:tcW w:w="1349"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4E57D2D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90.04</w:t>
            </w:r>
          </w:p>
        </w:tc>
        <w:tc>
          <w:tcPr>
            <w:tcW w:w="1389" w:type="dxa"/>
            <w:tcBorders>
              <w:top w:val="single" w:color="FFFFFF" w:sz="4" w:space="0"/>
              <w:left w:val="single" w:color="FFFFFF" w:sz="4" w:space="0"/>
              <w:bottom w:val="single" w:color="FFFFFF" w:sz="4" w:space="0"/>
              <w:right w:val="nil"/>
            </w:tcBorders>
            <w:shd w:val="clear" w:color="D9E1F4" w:fill="D9E1F4"/>
            <w:noWrap/>
            <w:vAlign w:val="center"/>
          </w:tcPr>
          <w:p w14:paraId="3F05050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10907</w:t>
            </w:r>
          </w:p>
        </w:tc>
      </w:tr>
      <w:tr w14:paraId="38730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515" w:type="dxa"/>
            <w:vMerge w:val="continue"/>
            <w:tcBorders>
              <w:top w:val="single" w:color="FFFFFF" w:sz="12" w:space="0"/>
              <w:left w:val="nil"/>
              <w:bottom w:val="single" w:color="FFFFFF" w:sz="4" w:space="0"/>
              <w:right w:val="single" w:color="FFFFFF" w:sz="4" w:space="0"/>
            </w:tcBorders>
            <w:shd w:val="clear" w:color="B5C6EA" w:fill="B5C6EA"/>
            <w:noWrap/>
            <w:vAlign w:val="center"/>
          </w:tcPr>
          <w:p w14:paraId="5E75C117">
            <w:pPr>
              <w:jc w:val="center"/>
              <w:rPr>
                <w:rFonts w:hint="eastAsia" w:ascii="仿宋_GB2312" w:hAnsi="宋体" w:eastAsia="仿宋_GB2312" w:cs="仿宋_GB2312"/>
                <w:i w:val="0"/>
                <w:iCs w:val="0"/>
                <w:color w:val="000000"/>
                <w:sz w:val="24"/>
                <w:szCs w:val="24"/>
                <w:u w:val="none"/>
              </w:rPr>
            </w:pPr>
          </w:p>
        </w:tc>
        <w:tc>
          <w:tcPr>
            <w:tcW w:w="4856"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B7FCE8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课外育人满意度</w:t>
            </w:r>
          </w:p>
        </w:tc>
        <w:tc>
          <w:tcPr>
            <w:tcW w:w="1349" w:type="dxa"/>
            <w:tcBorders>
              <w:top w:val="single" w:color="FFFFFF" w:sz="4" w:space="0"/>
              <w:left w:val="single" w:color="FFFFFF" w:sz="4" w:space="0"/>
              <w:bottom w:val="single" w:color="FFFFFF" w:sz="4" w:space="0"/>
              <w:right w:val="single" w:color="FFFFFF" w:sz="4" w:space="0"/>
            </w:tcBorders>
            <w:shd w:val="clear" w:color="B5C6EA" w:fill="B5C6EA"/>
            <w:vAlign w:val="center"/>
          </w:tcPr>
          <w:p w14:paraId="538C237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90.05</w:t>
            </w:r>
          </w:p>
        </w:tc>
        <w:tc>
          <w:tcPr>
            <w:tcW w:w="1389" w:type="dxa"/>
            <w:tcBorders>
              <w:top w:val="single" w:color="FFFFFF" w:sz="4" w:space="0"/>
              <w:left w:val="single" w:color="FFFFFF" w:sz="4" w:space="0"/>
              <w:bottom w:val="single" w:color="FFFFFF" w:sz="4" w:space="0"/>
              <w:right w:val="nil"/>
            </w:tcBorders>
            <w:shd w:val="clear" w:color="B5C6EA" w:fill="B5C6EA"/>
            <w:noWrap/>
            <w:vAlign w:val="center"/>
          </w:tcPr>
          <w:p w14:paraId="4DB5A01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10907</w:t>
            </w:r>
          </w:p>
        </w:tc>
      </w:tr>
      <w:tr w14:paraId="4CFD0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515" w:type="dxa"/>
            <w:vMerge w:val="continue"/>
            <w:tcBorders>
              <w:top w:val="single" w:color="FFFFFF" w:sz="12" w:space="0"/>
              <w:left w:val="nil"/>
              <w:bottom w:val="single" w:color="FFFFFF" w:sz="4" w:space="0"/>
              <w:right w:val="single" w:color="FFFFFF" w:sz="4" w:space="0"/>
            </w:tcBorders>
            <w:shd w:val="clear" w:color="B5C6EA" w:fill="B5C6EA"/>
            <w:noWrap/>
            <w:vAlign w:val="center"/>
          </w:tcPr>
          <w:p w14:paraId="0919EEA7">
            <w:pPr>
              <w:jc w:val="center"/>
              <w:rPr>
                <w:rFonts w:hint="eastAsia" w:ascii="仿宋_GB2312" w:hAnsi="宋体" w:eastAsia="仿宋_GB2312" w:cs="仿宋_GB2312"/>
                <w:i w:val="0"/>
                <w:iCs w:val="0"/>
                <w:color w:val="000000"/>
                <w:sz w:val="24"/>
                <w:szCs w:val="24"/>
                <w:u w:val="none"/>
              </w:rPr>
            </w:pPr>
          </w:p>
        </w:tc>
        <w:tc>
          <w:tcPr>
            <w:tcW w:w="4856"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F338F1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思想政治课教学满意度</w:t>
            </w:r>
          </w:p>
        </w:tc>
        <w:tc>
          <w:tcPr>
            <w:tcW w:w="1349"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78B6AEE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93.77</w:t>
            </w:r>
          </w:p>
        </w:tc>
        <w:tc>
          <w:tcPr>
            <w:tcW w:w="1389" w:type="dxa"/>
            <w:tcBorders>
              <w:top w:val="single" w:color="FFFFFF" w:sz="4" w:space="0"/>
              <w:left w:val="single" w:color="FFFFFF" w:sz="4" w:space="0"/>
              <w:bottom w:val="single" w:color="FFFFFF" w:sz="4" w:space="0"/>
              <w:right w:val="nil"/>
            </w:tcBorders>
            <w:shd w:val="clear" w:color="D9E1F4" w:fill="D9E1F4"/>
            <w:noWrap/>
            <w:vAlign w:val="center"/>
          </w:tcPr>
          <w:p w14:paraId="15FC216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10907</w:t>
            </w:r>
          </w:p>
        </w:tc>
      </w:tr>
      <w:tr w14:paraId="03710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515" w:type="dxa"/>
            <w:vMerge w:val="continue"/>
            <w:tcBorders>
              <w:top w:val="single" w:color="FFFFFF" w:sz="12" w:space="0"/>
              <w:left w:val="nil"/>
              <w:bottom w:val="single" w:color="FFFFFF" w:sz="4" w:space="0"/>
              <w:right w:val="single" w:color="FFFFFF" w:sz="4" w:space="0"/>
            </w:tcBorders>
            <w:shd w:val="clear" w:color="B5C6EA" w:fill="B5C6EA"/>
            <w:noWrap/>
            <w:vAlign w:val="center"/>
          </w:tcPr>
          <w:p w14:paraId="1DF5861C">
            <w:pPr>
              <w:jc w:val="center"/>
              <w:rPr>
                <w:rFonts w:hint="eastAsia" w:ascii="仿宋_GB2312" w:hAnsi="宋体" w:eastAsia="仿宋_GB2312" w:cs="仿宋_GB2312"/>
                <w:i w:val="0"/>
                <w:iCs w:val="0"/>
                <w:color w:val="000000"/>
                <w:sz w:val="24"/>
                <w:szCs w:val="24"/>
                <w:u w:val="none"/>
              </w:rPr>
            </w:pPr>
          </w:p>
        </w:tc>
        <w:tc>
          <w:tcPr>
            <w:tcW w:w="4856"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467421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公共基础课（不含思想政治课）教学满意度</w:t>
            </w:r>
          </w:p>
        </w:tc>
        <w:tc>
          <w:tcPr>
            <w:tcW w:w="1349" w:type="dxa"/>
            <w:tcBorders>
              <w:top w:val="single" w:color="FFFFFF" w:sz="4" w:space="0"/>
              <w:left w:val="single" w:color="FFFFFF" w:sz="4" w:space="0"/>
              <w:bottom w:val="single" w:color="FFFFFF" w:sz="4" w:space="0"/>
              <w:right w:val="single" w:color="FFFFFF" w:sz="4" w:space="0"/>
            </w:tcBorders>
            <w:shd w:val="clear" w:color="B5C6EA" w:fill="B5C6EA"/>
            <w:vAlign w:val="center"/>
          </w:tcPr>
          <w:p w14:paraId="296C784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91.60</w:t>
            </w:r>
          </w:p>
        </w:tc>
        <w:tc>
          <w:tcPr>
            <w:tcW w:w="1389" w:type="dxa"/>
            <w:tcBorders>
              <w:top w:val="single" w:color="FFFFFF" w:sz="4" w:space="0"/>
              <w:left w:val="single" w:color="FFFFFF" w:sz="4" w:space="0"/>
              <w:bottom w:val="single" w:color="FFFFFF" w:sz="4" w:space="0"/>
              <w:right w:val="nil"/>
            </w:tcBorders>
            <w:shd w:val="clear" w:color="B5C6EA" w:fill="B5C6EA"/>
            <w:noWrap/>
            <w:vAlign w:val="center"/>
          </w:tcPr>
          <w:p w14:paraId="04962B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10907</w:t>
            </w:r>
          </w:p>
        </w:tc>
      </w:tr>
      <w:tr w14:paraId="6A2E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15" w:type="dxa"/>
            <w:vMerge w:val="continue"/>
            <w:tcBorders>
              <w:top w:val="single" w:color="FFFFFF" w:sz="12" w:space="0"/>
              <w:left w:val="nil"/>
              <w:bottom w:val="single" w:color="FFFFFF" w:sz="4" w:space="0"/>
              <w:right w:val="single" w:color="FFFFFF" w:sz="4" w:space="0"/>
            </w:tcBorders>
            <w:shd w:val="clear" w:color="B5C6EA" w:fill="B5C6EA"/>
            <w:noWrap/>
            <w:vAlign w:val="center"/>
          </w:tcPr>
          <w:p w14:paraId="1B1AABC1">
            <w:pPr>
              <w:jc w:val="center"/>
              <w:rPr>
                <w:rFonts w:hint="eastAsia" w:ascii="仿宋_GB2312" w:hAnsi="宋体" w:eastAsia="仿宋_GB2312" w:cs="仿宋_GB2312"/>
                <w:i w:val="0"/>
                <w:iCs w:val="0"/>
                <w:color w:val="000000"/>
                <w:sz w:val="24"/>
                <w:szCs w:val="24"/>
                <w:u w:val="none"/>
              </w:rPr>
            </w:pPr>
          </w:p>
        </w:tc>
        <w:tc>
          <w:tcPr>
            <w:tcW w:w="4856"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FB7E29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专业课教学满意度</w:t>
            </w:r>
          </w:p>
        </w:tc>
        <w:tc>
          <w:tcPr>
            <w:tcW w:w="1349"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3FAF172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91.77</w:t>
            </w:r>
          </w:p>
        </w:tc>
        <w:tc>
          <w:tcPr>
            <w:tcW w:w="1389" w:type="dxa"/>
            <w:tcBorders>
              <w:top w:val="single" w:color="FFFFFF" w:sz="4" w:space="0"/>
              <w:left w:val="single" w:color="FFFFFF" w:sz="4" w:space="0"/>
              <w:bottom w:val="single" w:color="FFFFFF" w:sz="4" w:space="0"/>
              <w:right w:val="nil"/>
            </w:tcBorders>
            <w:shd w:val="clear" w:color="D9E1F4" w:fill="D9E1F4"/>
            <w:noWrap/>
            <w:vAlign w:val="center"/>
          </w:tcPr>
          <w:p w14:paraId="2ABFB13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10907</w:t>
            </w:r>
          </w:p>
        </w:tc>
      </w:tr>
      <w:tr w14:paraId="16F68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15" w:type="dxa"/>
            <w:vMerge w:val="restart"/>
            <w:tcBorders>
              <w:top w:val="single" w:color="FFFFFF" w:sz="4" w:space="0"/>
              <w:left w:val="nil"/>
              <w:bottom w:val="single" w:color="FFFFFF" w:sz="4" w:space="0"/>
              <w:right w:val="single" w:color="FFFFFF" w:sz="4" w:space="0"/>
            </w:tcBorders>
            <w:shd w:val="clear" w:color="B5C6EA" w:fill="B5C6EA"/>
            <w:noWrap/>
            <w:vAlign w:val="center"/>
          </w:tcPr>
          <w:p w14:paraId="144B9E2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毕业生</w:t>
            </w:r>
          </w:p>
        </w:tc>
        <w:tc>
          <w:tcPr>
            <w:tcW w:w="4856"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E89F5C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毕业生满意度</w:t>
            </w:r>
          </w:p>
        </w:tc>
        <w:tc>
          <w:tcPr>
            <w:tcW w:w="1349" w:type="dxa"/>
            <w:tcBorders>
              <w:top w:val="single" w:color="FFFFFF" w:sz="4" w:space="0"/>
              <w:left w:val="single" w:color="FFFFFF" w:sz="4" w:space="0"/>
              <w:bottom w:val="single" w:color="FFFFFF" w:sz="4" w:space="0"/>
              <w:right w:val="single" w:color="FFFFFF" w:sz="4" w:space="0"/>
            </w:tcBorders>
            <w:shd w:val="clear" w:color="B5C6EA" w:fill="B5C6EA"/>
            <w:vAlign w:val="center"/>
          </w:tcPr>
          <w:p w14:paraId="7E9F1E0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96.24</w:t>
            </w:r>
          </w:p>
        </w:tc>
        <w:tc>
          <w:tcPr>
            <w:tcW w:w="1389" w:type="dxa"/>
            <w:tcBorders>
              <w:top w:val="single" w:color="FFFFFF" w:sz="4" w:space="0"/>
              <w:left w:val="single" w:color="FFFFFF" w:sz="4" w:space="0"/>
              <w:bottom w:val="single" w:color="FFFFFF" w:sz="4" w:space="0"/>
              <w:right w:val="nil"/>
            </w:tcBorders>
            <w:shd w:val="clear" w:color="B5C6EA" w:fill="B5C6EA"/>
            <w:noWrap/>
            <w:vAlign w:val="center"/>
          </w:tcPr>
          <w:p w14:paraId="78AA2B0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6336</w:t>
            </w:r>
          </w:p>
        </w:tc>
      </w:tr>
      <w:tr w14:paraId="37331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15" w:type="dxa"/>
            <w:vMerge w:val="continue"/>
            <w:tcBorders>
              <w:top w:val="single" w:color="FFFFFF" w:sz="4" w:space="0"/>
              <w:left w:val="nil"/>
              <w:bottom w:val="single" w:color="FFFFFF" w:sz="4" w:space="0"/>
              <w:right w:val="single" w:color="FFFFFF" w:sz="4" w:space="0"/>
            </w:tcBorders>
            <w:shd w:val="clear" w:color="B5C6EA" w:fill="B5C6EA"/>
            <w:noWrap/>
            <w:vAlign w:val="center"/>
          </w:tcPr>
          <w:p w14:paraId="07C44C52">
            <w:pPr>
              <w:jc w:val="center"/>
              <w:rPr>
                <w:rFonts w:hint="eastAsia" w:ascii="仿宋_GB2312" w:hAnsi="宋体" w:eastAsia="仿宋_GB2312" w:cs="仿宋_GB2312"/>
                <w:i w:val="0"/>
                <w:iCs w:val="0"/>
                <w:color w:val="000000"/>
                <w:sz w:val="24"/>
                <w:szCs w:val="24"/>
                <w:u w:val="none"/>
              </w:rPr>
            </w:pPr>
          </w:p>
        </w:tc>
        <w:tc>
          <w:tcPr>
            <w:tcW w:w="4856"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05F583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其中：应届毕业生满意度</w:t>
            </w:r>
          </w:p>
        </w:tc>
        <w:tc>
          <w:tcPr>
            <w:tcW w:w="1349"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70B3E5E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96.48</w:t>
            </w:r>
          </w:p>
        </w:tc>
        <w:tc>
          <w:tcPr>
            <w:tcW w:w="1389" w:type="dxa"/>
            <w:tcBorders>
              <w:top w:val="single" w:color="FFFFFF" w:sz="4" w:space="0"/>
              <w:left w:val="single" w:color="FFFFFF" w:sz="4" w:space="0"/>
              <w:bottom w:val="single" w:color="FFFFFF" w:sz="4" w:space="0"/>
              <w:right w:val="nil"/>
            </w:tcBorders>
            <w:shd w:val="clear" w:color="D9E1F4" w:fill="D9E1F4"/>
            <w:noWrap/>
            <w:vAlign w:val="center"/>
          </w:tcPr>
          <w:p w14:paraId="485CB9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3122</w:t>
            </w:r>
          </w:p>
        </w:tc>
      </w:tr>
      <w:tr w14:paraId="0AB10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15" w:type="dxa"/>
            <w:vMerge w:val="continue"/>
            <w:tcBorders>
              <w:top w:val="single" w:color="FFFFFF" w:sz="4" w:space="0"/>
              <w:left w:val="nil"/>
              <w:bottom w:val="single" w:color="FFFFFF" w:sz="4" w:space="0"/>
              <w:right w:val="single" w:color="FFFFFF" w:sz="4" w:space="0"/>
            </w:tcBorders>
            <w:shd w:val="clear" w:color="B5C6EA" w:fill="B5C6EA"/>
            <w:noWrap/>
            <w:vAlign w:val="center"/>
          </w:tcPr>
          <w:p w14:paraId="5FF35F27">
            <w:pPr>
              <w:jc w:val="center"/>
              <w:rPr>
                <w:rFonts w:hint="eastAsia" w:ascii="仿宋_GB2312" w:hAnsi="宋体" w:eastAsia="仿宋_GB2312" w:cs="仿宋_GB2312"/>
                <w:i w:val="0"/>
                <w:iCs w:val="0"/>
                <w:color w:val="000000"/>
                <w:sz w:val="24"/>
                <w:szCs w:val="24"/>
                <w:u w:val="none"/>
              </w:rPr>
            </w:pPr>
          </w:p>
        </w:tc>
        <w:tc>
          <w:tcPr>
            <w:tcW w:w="4856"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33F19F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毕业三年内毕业生满意度</w:t>
            </w:r>
          </w:p>
        </w:tc>
        <w:tc>
          <w:tcPr>
            <w:tcW w:w="1349" w:type="dxa"/>
            <w:tcBorders>
              <w:top w:val="single" w:color="FFFFFF" w:sz="4" w:space="0"/>
              <w:left w:val="single" w:color="FFFFFF" w:sz="4" w:space="0"/>
              <w:bottom w:val="single" w:color="FFFFFF" w:sz="4" w:space="0"/>
              <w:right w:val="single" w:color="FFFFFF" w:sz="4" w:space="0"/>
            </w:tcBorders>
            <w:shd w:val="clear" w:color="B5C6EA" w:fill="B5C6EA"/>
            <w:vAlign w:val="center"/>
          </w:tcPr>
          <w:p w14:paraId="6B70D14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95.29</w:t>
            </w:r>
          </w:p>
        </w:tc>
        <w:tc>
          <w:tcPr>
            <w:tcW w:w="1389" w:type="dxa"/>
            <w:tcBorders>
              <w:top w:val="single" w:color="FFFFFF" w:sz="4" w:space="0"/>
              <w:left w:val="single" w:color="FFFFFF" w:sz="4" w:space="0"/>
              <w:bottom w:val="single" w:color="FFFFFF" w:sz="4" w:space="0"/>
              <w:right w:val="nil"/>
            </w:tcBorders>
            <w:shd w:val="clear" w:color="B5C6EA" w:fill="B5C6EA"/>
            <w:noWrap/>
            <w:vAlign w:val="center"/>
          </w:tcPr>
          <w:p w14:paraId="122A421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3779</w:t>
            </w:r>
          </w:p>
        </w:tc>
      </w:tr>
      <w:tr w14:paraId="68631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15" w:type="dxa"/>
            <w:tcBorders>
              <w:top w:val="single" w:color="FFFFFF" w:sz="4" w:space="0"/>
              <w:left w:val="nil"/>
              <w:bottom w:val="single" w:color="FFFFFF" w:sz="4" w:space="0"/>
              <w:right w:val="single" w:color="FFFFFF" w:sz="4" w:space="0"/>
            </w:tcBorders>
            <w:shd w:val="clear" w:color="D9E1F4" w:fill="D9E1F4"/>
            <w:noWrap/>
            <w:vAlign w:val="center"/>
          </w:tcPr>
          <w:p w14:paraId="25216EC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用人单位</w:t>
            </w:r>
          </w:p>
        </w:tc>
        <w:tc>
          <w:tcPr>
            <w:tcW w:w="4856"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055CB9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用人单位满意度</w:t>
            </w:r>
          </w:p>
        </w:tc>
        <w:tc>
          <w:tcPr>
            <w:tcW w:w="1349"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2144661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94.79</w:t>
            </w:r>
          </w:p>
        </w:tc>
        <w:tc>
          <w:tcPr>
            <w:tcW w:w="1389" w:type="dxa"/>
            <w:tcBorders>
              <w:top w:val="single" w:color="FFFFFF" w:sz="4" w:space="0"/>
              <w:left w:val="single" w:color="FFFFFF" w:sz="4" w:space="0"/>
              <w:bottom w:val="single" w:color="FFFFFF" w:sz="4" w:space="0"/>
              <w:right w:val="nil"/>
            </w:tcBorders>
            <w:shd w:val="clear" w:color="D9E1F4" w:fill="D9E1F4"/>
            <w:noWrap/>
            <w:vAlign w:val="center"/>
          </w:tcPr>
          <w:p w14:paraId="6893061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729</w:t>
            </w:r>
          </w:p>
        </w:tc>
      </w:tr>
      <w:tr w14:paraId="48659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15" w:type="dxa"/>
            <w:tcBorders>
              <w:top w:val="single" w:color="FFFFFF" w:sz="4" w:space="0"/>
              <w:left w:val="nil"/>
              <w:bottom w:val="nil"/>
              <w:right w:val="single" w:color="FFFFFF" w:sz="4" w:space="0"/>
            </w:tcBorders>
            <w:shd w:val="clear" w:color="B5C6EA" w:fill="B5C6EA"/>
            <w:noWrap/>
            <w:vAlign w:val="center"/>
          </w:tcPr>
          <w:p w14:paraId="29B228D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家长</w:t>
            </w:r>
          </w:p>
        </w:tc>
        <w:tc>
          <w:tcPr>
            <w:tcW w:w="4856" w:type="dxa"/>
            <w:tcBorders>
              <w:top w:val="single" w:color="FFFFFF" w:sz="4" w:space="0"/>
              <w:left w:val="single" w:color="FFFFFF" w:sz="4" w:space="0"/>
              <w:bottom w:val="nil"/>
              <w:right w:val="single" w:color="FFFFFF" w:sz="4" w:space="0"/>
            </w:tcBorders>
            <w:shd w:val="clear" w:color="B5C6EA" w:fill="B5C6EA"/>
            <w:noWrap/>
            <w:vAlign w:val="center"/>
          </w:tcPr>
          <w:p w14:paraId="6B177CE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家长满意度</w:t>
            </w:r>
          </w:p>
        </w:tc>
        <w:tc>
          <w:tcPr>
            <w:tcW w:w="1349" w:type="dxa"/>
            <w:tcBorders>
              <w:top w:val="single" w:color="FFFFFF" w:sz="4" w:space="0"/>
              <w:left w:val="single" w:color="FFFFFF" w:sz="4" w:space="0"/>
              <w:bottom w:val="nil"/>
              <w:right w:val="single" w:color="FFFFFF" w:sz="4" w:space="0"/>
            </w:tcBorders>
            <w:shd w:val="clear" w:color="B5C6EA" w:fill="B5C6EA"/>
            <w:vAlign w:val="center"/>
          </w:tcPr>
          <w:p w14:paraId="392B1AC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94.95</w:t>
            </w:r>
          </w:p>
        </w:tc>
        <w:tc>
          <w:tcPr>
            <w:tcW w:w="1389" w:type="dxa"/>
            <w:tcBorders>
              <w:top w:val="single" w:color="FFFFFF" w:sz="4" w:space="0"/>
              <w:left w:val="single" w:color="FFFFFF" w:sz="4" w:space="0"/>
              <w:bottom w:val="nil"/>
              <w:right w:val="nil"/>
            </w:tcBorders>
            <w:shd w:val="clear" w:color="B5C6EA" w:fill="B5C6EA"/>
            <w:noWrap/>
            <w:vAlign w:val="center"/>
          </w:tcPr>
          <w:p w14:paraId="1794120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4932</w:t>
            </w:r>
          </w:p>
        </w:tc>
      </w:tr>
    </w:tbl>
    <w:p w14:paraId="68032B45">
      <w:pPr>
        <w:pStyle w:val="16"/>
        <w:rPr>
          <w:rFonts w:hint="default"/>
          <w:lang w:val="en-US" w:eastAsia="zh-CN"/>
        </w:rPr>
      </w:pPr>
    </w:p>
    <w:p w14:paraId="74A3C6F9">
      <w:pPr>
        <w:pStyle w:val="36"/>
        <w:bidi w:val="0"/>
        <w:rPr>
          <w:rFonts w:hint="default"/>
          <w:lang w:val="en-US" w:eastAsia="zh-CN"/>
        </w:rPr>
      </w:pPr>
      <w:bookmarkStart w:id="41" w:name="_Toc7429"/>
      <w:bookmarkStart w:id="42" w:name="_Toc15707"/>
      <w:r>
        <w:rPr>
          <w:rFonts w:hint="default"/>
          <w:lang w:val="en-US" w:eastAsia="zh-CN"/>
        </w:rPr>
        <w:t>2.4</w:t>
      </w:r>
      <w:r>
        <w:rPr>
          <w:rFonts w:hint="eastAsia"/>
          <w:lang w:val="en-US" w:eastAsia="zh-CN"/>
        </w:rPr>
        <w:t xml:space="preserve"> </w:t>
      </w:r>
      <w:r>
        <w:rPr>
          <w:rFonts w:hint="default"/>
          <w:lang w:val="en-US" w:eastAsia="zh-CN"/>
        </w:rPr>
        <w:t>就业质量</w:t>
      </w:r>
      <w:bookmarkEnd w:id="41"/>
      <w:bookmarkEnd w:id="42"/>
    </w:p>
    <w:p w14:paraId="3C7124A0">
      <w:pPr>
        <w:pStyle w:val="16"/>
        <w:rPr>
          <w:rFonts w:hint="default"/>
          <w:lang w:val="en-US" w:eastAsia="zh-CN"/>
        </w:rPr>
      </w:pPr>
      <w:r>
        <w:rPr>
          <w:rFonts w:hint="eastAsia"/>
          <w:lang w:val="en-US" w:eastAsia="zh-CN"/>
        </w:rPr>
        <w:t>随着中职教育</w:t>
      </w:r>
      <w:r>
        <w:rPr>
          <w:rFonts w:hint="default"/>
          <w:lang w:val="en-US" w:eastAsia="zh-CN"/>
        </w:rPr>
        <w:t>“就业与升学并重”</w:t>
      </w:r>
      <w:r>
        <w:rPr>
          <w:rFonts w:hint="eastAsia"/>
          <w:lang w:val="en-US" w:eastAsia="zh-CN"/>
        </w:rPr>
        <w:t>定位的进一步深入落实，2024</w:t>
      </w:r>
      <w:r>
        <w:rPr>
          <w:rFonts w:hint="default"/>
          <w:lang w:val="en-US" w:eastAsia="zh-CN"/>
        </w:rPr>
        <w:t>年全市中等职业学校共有毕业生</w:t>
      </w:r>
      <w:r>
        <w:rPr>
          <w:rFonts w:hint="eastAsia"/>
          <w:lang w:val="en-US" w:eastAsia="zh-CN"/>
        </w:rPr>
        <w:t>15407</w:t>
      </w:r>
      <w:r>
        <w:rPr>
          <w:rFonts w:hint="default"/>
          <w:lang w:val="en-US" w:eastAsia="zh-CN"/>
        </w:rPr>
        <w:t>人</w:t>
      </w:r>
      <w:r>
        <w:rPr>
          <w:rFonts w:hint="eastAsia"/>
          <w:lang w:val="en-US" w:eastAsia="zh-CN"/>
        </w:rPr>
        <w:t>中</w:t>
      </w:r>
      <w:r>
        <w:rPr>
          <w:rFonts w:hint="default"/>
          <w:lang w:val="en-US" w:eastAsia="zh-CN"/>
        </w:rPr>
        <w:t>，签订就业协议就业、自主创业、灵活就业、参军、出国劳务和升学毕业生</w:t>
      </w:r>
      <w:r>
        <w:rPr>
          <w:rFonts w:hint="eastAsia"/>
          <w:lang w:val="en-US" w:eastAsia="zh-CN"/>
        </w:rPr>
        <w:t>等去向落实人数为14294人。</w:t>
      </w:r>
      <w:r>
        <w:rPr>
          <w:rFonts w:hint="default"/>
          <w:lang w:val="en-US" w:eastAsia="zh-CN"/>
        </w:rPr>
        <w:t>其中</w:t>
      </w:r>
      <w:r>
        <w:rPr>
          <w:rFonts w:hint="eastAsia"/>
          <w:lang w:val="en-US" w:eastAsia="zh-CN"/>
        </w:rPr>
        <w:t>落实去向为本省的人数为10129人，本省去向落实率为70.96%；</w:t>
      </w:r>
      <w:r>
        <w:rPr>
          <w:rFonts w:hint="default"/>
          <w:lang w:val="en-US" w:eastAsia="zh-CN"/>
        </w:rPr>
        <w:t>升学</w:t>
      </w:r>
      <w:r>
        <w:rPr>
          <w:rFonts w:hint="eastAsia"/>
          <w:lang w:val="en-US" w:eastAsia="zh-CN"/>
        </w:rPr>
        <w:t>9413</w:t>
      </w:r>
      <w:r>
        <w:rPr>
          <w:rFonts w:hint="default"/>
          <w:lang w:val="en-US" w:eastAsia="zh-CN"/>
        </w:rPr>
        <w:t>人，就业</w:t>
      </w:r>
      <w:r>
        <w:rPr>
          <w:rFonts w:hint="eastAsia"/>
          <w:lang w:val="en-US" w:eastAsia="zh-CN"/>
        </w:rPr>
        <w:t>4884</w:t>
      </w:r>
      <w:r>
        <w:rPr>
          <w:rFonts w:hint="default"/>
          <w:lang w:val="en-US" w:eastAsia="zh-CN"/>
        </w:rPr>
        <w:t>人</w:t>
      </w:r>
      <w:r>
        <w:rPr>
          <w:rFonts w:hint="eastAsia"/>
          <w:lang w:val="en-US" w:eastAsia="zh-CN"/>
        </w:rPr>
        <w:t>（含创业253人）；</w:t>
      </w:r>
      <w:r>
        <w:rPr>
          <w:rFonts w:hint="default"/>
          <w:lang w:val="en-US" w:eastAsia="zh-CN"/>
        </w:rPr>
        <w:t>选择就业的毕业生中，在规模以上企业就业人数为</w:t>
      </w:r>
      <w:r>
        <w:rPr>
          <w:rFonts w:hint="eastAsia"/>
          <w:lang w:val="en-US" w:eastAsia="zh-CN"/>
        </w:rPr>
        <w:t>265</w:t>
      </w:r>
      <w:r>
        <w:rPr>
          <w:rFonts w:hint="default"/>
          <w:lang w:val="en-US" w:eastAsia="zh-CN"/>
        </w:rPr>
        <w:t>人，在中小微企业就业人数为</w:t>
      </w:r>
      <w:r>
        <w:rPr>
          <w:rFonts w:hint="eastAsia"/>
          <w:lang w:val="en-US" w:eastAsia="zh-CN"/>
        </w:rPr>
        <w:t>3667</w:t>
      </w:r>
      <w:r>
        <w:rPr>
          <w:rFonts w:hint="default"/>
          <w:lang w:val="en-US" w:eastAsia="zh-CN"/>
        </w:rPr>
        <w:t>人</w:t>
      </w:r>
      <w:r>
        <w:rPr>
          <w:rFonts w:hint="eastAsia"/>
          <w:lang w:val="en-US" w:eastAsia="zh-CN"/>
        </w:rPr>
        <w:t>；</w:t>
      </w:r>
      <w:r>
        <w:rPr>
          <w:rFonts w:hint="default"/>
          <w:lang w:val="en-US" w:eastAsia="zh-CN"/>
        </w:rPr>
        <w:t>专业对口率为</w:t>
      </w:r>
      <w:r>
        <w:rPr>
          <w:rFonts w:hint="eastAsia"/>
          <w:lang w:val="en-US" w:eastAsia="zh-CN"/>
        </w:rPr>
        <w:t>58.28</w:t>
      </w:r>
      <w:r>
        <w:rPr>
          <w:rFonts w:hint="default"/>
          <w:lang w:val="en-US" w:eastAsia="zh-CN"/>
        </w:rPr>
        <w:t>%。就业单位满意率方面，综合满意度为</w:t>
      </w:r>
      <w:r>
        <w:rPr>
          <w:rFonts w:hint="eastAsia"/>
          <w:lang w:val="en-US" w:eastAsia="zh-CN"/>
        </w:rPr>
        <w:t>94.79</w:t>
      </w:r>
      <w:r>
        <w:rPr>
          <w:rFonts w:hint="default"/>
          <w:lang w:val="en-US" w:eastAsia="zh-CN"/>
        </w:rPr>
        <w:t>%，</w:t>
      </w:r>
      <w:r>
        <w:rPr>
          <w:rFonts w:hint="eastAsia"/>
          <w:lang w:val="en-US" w:eastAsia="zh-CN"/>
        </w:rPr>
        <w:t>其中</w:t>
      </w:r>
      <w:r>
        <w:rPr>
          <w:rFonts w:hint="default"/>
          <w:lang w:val="en-US" w:eastAsia="zh-CN"/>
        </w:rPr>
        <w:t>对毕业生职业素养的满意度为</w:t>
      </w:r>
      <w:r>
        <w:rPr>
          <w:rFonts w:hint="eastAsia"/>
          <w:lang w:val="en-US" w:eastAsia="zh-CN"/>
        </w:rPr>
        <w:t>95.29</w:t>
      </w:r>
      <w:r>
        <w:rPr>
          <w:rFonts w:hint="default"/>
          <w:lang w:val="en-US" w:eastAsia="zh-CN"/>
        </w:rPr>
        <w:t>%，对毕业生职业能力的满意度为</w:t>
      </w:r>
      <w:r>
        <w:rPr>
          <w:rFonts w:hint="eastAsia"/>
          <w:lang w:val="en-US" w:eastAsia="zh-CN"/>
        </w:rPr>
        <w:t>94.44</w:t>
      </w:r>
      <w:r>
        <w:rPr>
          <w:rFonts w:hint="default"/>
          <w:lang w:val="en-US" w:eastAsia="zh-CN"/>
        </w:rPr>
        <w:t>%，均保持在较高水平。</w:t>
      </w:r>
    </w:p>
    <w:p w14:paraId="2D3D22B8">
      <w:pPr>
        <w:pStyle w:val="16"/>
        <w:rPr>
          <w:rFonts w:hint="default"/>
          <w:lang w:val="en-US" w:eastAsia="zh-CN"/>
        </w:rPr>
      </w:pPr>
    </w:p>
    <w:p w14:paraId="69F07A5B">
      <w:pPr>
        <w:pStyle w:val="38"/>
        <w:bidi w:val="0"/>
        <w:rPr>
          <w:rFonts w:hint="default"/>
          <w:lang w:val="en-US" w:eastAsia="zh-CN"/>
        </w:rPr>
      </w:pPr>
      <w:bookmarkStart w:id="43" w:name="_Toc5727"/>
      <w:r>
        <w:rPr>
          <w:rFonts w:hint="default"/>
          <w:lang w:val="en-US" w:eastAsia="zh-CN"/>
        </w:rPr>
        <w:t>表</w:t>
      </w:r>
      <w:r>
        <w:rPr>
          <w:rFonts w:hint="eastAsia"/>
          <w:lang w:val="en-US" w:eastAsia="zh-CN"/>
        </w:rPr>
        <w:t>6</w:t>
      </w:r>
      <w:r>
        <w:rPr>
          <w:rFonts w:hint="default"/>
          <w:lang w:val="en-US" w:eastAsia="zh-CN"/>
        </w:rPr>
        <w:t>：</w:t>
      </w:r>
      <w:r>
        <w:rPr>
          <w:rFonts w:hint="eastAsia"/>
          <w:lang w:val="en-US" w:eastAsia="zh-CN"/>
        </w:rPr>
        <w:t>中职毕业生</w:t>
      </w:r>
      <w:r>
        <w:rPr>
          <w:rFonts w:hint="default"/>
          <w:lang w:val="en-US" w:eastAsia="zh-CN"/>
        </w:rPr>
        <w:t>历年就业情况统计表</w:t>
      </w:r>
      <w:bookmarkEnd w:id="43"/>
    </w:p>
    <w:tbl>
      <w:tblPr>
        <w:tblStyle w:val="13"/>
        <w:tblpPr w:leftFromText="180" w:rightFromText="180" w:vertAnchor="text" w:horzAnchor="page" w:tblpX="1871" w:tblpY="152"/>
        <w:tblOverlap w:val="never"/>
        <w:tblW w:w="8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gridCol w:w="1080"/>
        <w:gridCol w:w="1080"/>
      </w:tblGrid>
      <w:tr w14:paraId="27489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5" w:hRule="atLeast"/>
          <w:jc w:val="center"/>
        </w:trPr>
        <w:tc>
          <w:tcPr>
            <w:tcW w:w="1080" w:type="dxa"/>
            <w:tcBorders>
              <w:top w:val="nil"/>
              <w:left w:val="nil"/>
              <w:bottom w:val="single" w:color="FFFFFF" w:sz="12" w:space="0"/>
              <w:right w:val="single" w:color="FFFFFF" w:sz="4" w:space="0"/>
            </w:tcBorders>
            <w:shd w:val="clear" w:color="4874CB" w:fill="4874CB"/>
            <w:vAlign w:val="center"/>
          </w:tcPr>
          <w:p w14:paraId="3C720701">
            <w:pPr>
              <w:keepNext w:val="0"/>
              <w:keepLines w:val="0"/>
              <w:widowControl/>
              <w:suppressLineNumbers w:val="0"/>
              <w:jc w:val="center"/>
              <w:textAlignment w:val="center"/>
              <w:rPr>
                <w:rFonts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年份</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14:paraId="594339EE">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毕业生数</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14:paraId="2AD85609">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就业人数（含升学）</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14:paraId="0D346CC0">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在规模以上企业就业人数</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14:paraId="55EEE6F4">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在中小微企业就业人数</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14:paraId="5EB7E527">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专业对口就业率</w:t>
            </w:r>
          </w:p>
        </w:tc>
        <w:tc>
          <w:tcPr>
            <w:tcW w:w="1080" w:type="dxa"/>
            <w:tcBorders>
              <w:top w:val="nil"/>
              <w:left w:val="single" w:color="FFFFFF" w:sz="4" w:space="0"/>
              <w:bottom w:val="single" w:color="FFFFFF" w:sz="12" w:space="0"/>
              <w:right w:val="single" w:color="FFFFFF" w:sz="4" w:space="0"/>
            </w:tcBorders>
            <w:shd w:val="clear" w:color="4874CB" w:fill="4874CB"/>
            <w:vAlign w:val="center"/>
          </w:tcPr>
          <w:p w14:paraId="341C5C23">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就业单位对毕业生职业素养的满意度</w:t>
            </w:r>
          </w:p>
        </w:tc>
        <w:tc>
          <w:tcPr>
            <w:tcW w:w="1080" w:type="dxa"/>
            <w:tcBorders>
              <w:top w:val="nil"/>
              <w:left w:val="single" w:color="FFFFFF" w:sz="4" w:space="0"/>
              <w:bottom w:val="single" w:color="FFFFFF" w:sz="12" w:space="0"/>
              <w:right w:val="nil"/>
            </w:tcBorders>
            <w:shd w:val="clear" w:color="4874CB" w:fill="4874CB"/>
            <w:vAlign w:val="center"/>
          </w:tcPr>
          <w:p w14:paraId="52D84131">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就业单位对毕业生职业能力的满意度</w:t>
            </w:r>
          </w:p>
        </w:tc>
      </w:tr>
      <w:tr w14:paraId="34B74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80" w:type="dxa"/>
            <w:tcBorders>
              <w:top w:val="single" w:color="FFFFFF" w:sz="12" w:space="0"/>
              <w:left w:val="nil"/>
              <w:bottom w:val="single" w:color="FFFFFF" w:sz="4" w:space="0"/>
              <w:right w:val="single" w:color="FFFFFF" w:sz="4" w:space="0"/>
            </w:tcBorders>
            <w:shd w:val="clear" w:color="B5C6EA" w:fill="B5C6EA"/>
            <w:vAlign w:val="center"/>
          </w:tcPr>
          <w:p w14:paraId="00083AF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2020</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14:paraId="69922DB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7364</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14:paraId="6454564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7268</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14:paraId="09656D9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1557</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14:paraId="6713C19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1595</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14:paraId="1675D07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75.30%</w:t>
            </w:r>
          </w:p>
        </w:tc>
        <w:tc>
          <w:tcPr>
            <w:tcW w:w="1080" w:type="dxa"/>
            <w:tcBorders>
              <w:top w:val="single" w:color="FFFFFF" w:sz="12" w:space="0"/>
              <w:left w:val="single" w:color="FFFFFF" w:sz="4" w:space="0"/>
              <w:bottom w:val="single" w:color="FFFFFF" w:sz="4" w:space="0"/>
              <w:right w:val="single" w:color="FFFFFF" w:sz="4" w:space="0"/>
            </w:tcBorders>
            <w:shd w:val="clear" w:color="B5C6EA" w:fill="B5C6EA"/>
            <w:vAlign w:val="center"/>
          </w:tcPr>
          <w:p w14:paraId="76A9575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86.20%</w:t>
            </w:r>
          </w:p>
        </w:tc>
        <w:tc>
          <w:tcPr>
            <w:tcW w:w="1080" w:type="dxa"/>
            <w:tcBorders>
              <w:top w:val="single" w:color="FFFFFF" w:sz="12" w:space="0"/>
              <w:left w:val="single" w:color="FFFFFF" w:sz="4" w:space="0"/>
              <w:bottom w:val="single" w:color="FFFFFF" w:sz="4" w:space="0"/>
              <w:right w:val="nil"/>
            </w:tcBorders>
            <w:shd w:val="clear" w:color="B5C6EA" w:fill="B5C6EA"/>
            <w:vAlign w:val="center"/>
          </w:tcPr>
          <w:p w14:paraId="5A44630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85.30%</w:t>
            </w:r>
          </w:p>
        </w:tc>
      </w:tr>
      <w:tr w14:paraId="689FC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080" w:type="dxa"/>
            <w:tcBorders>
              <w:top w:val="single" w:color="FFFFFF" w:sz="4" w:space="0"/>
              <w:left w:val="nil"/>
              <w:bottom w:val="single" w:color="FFFFFF" w:sz="4" w:space="0"/>
              <w:right w:val="single" w:color="FFFFFF" w:sz="4" w:space="0"/>
            </w:tcBorders>
            <w:shd w:val="clear" w:color="D9E1F4" w:fill="D9E1F4"/>
            <w:vAlign w:val="center"/>
          </w:tcPr>
          <w:p w14:paraId="29EBA57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2890EB5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7948</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7AC81FA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7874</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6B6E102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1454</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2CFD576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1740</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3B90881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86.40%</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3B0AB61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96.50%</w:t>
            </w:r>
          </w:p>
        </w:tc>
        <w:tc>
          <w:tcPr>
            <w:tcW w:w="1080" w:type="dxa"/>
            <w:tcBorders>
              <w:top w:val="single" w:color="FFFFFF" w:sz="4" w:space="0"/>
              <w:left w:val="single" w:color="FFFFFF" w:sz="4" w:space="0"/>
              <w:bottom w:val="single" w:color="FFFFFF" w:sz="4" w:space="0"/>
              <w:right w:val="nil"/>
            </w:tcBorders>
            <w:shd w:val="clear" w:color="D9E1F4" w:fill="D9E1F4"/>
            <w:vAlign w:val="center"/>
          </w:tcPr>
          <w:p w14:paraId="72B735E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96.10%</w:t>
            </w:r>
          </w:p>
        </w:tc>
      </w:tr>
      <w:tr w14:paraId="40D46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80" w:type="dxa"/>
            <w:tcBorders>
              <w:top w:val="single" w:color="FFFFFF" w:sz="4" w:space="0"/>
              <w:left w:val="nil"/>
              <w:bottom w:val="single" w:color="FFFFFF" w:sz="4" w:space="0"/>
              <w:right w:val="single" w:color="FFFFFF" w:sz="4" w:space="0"/>
            </w:tcBorders>
            <w:shd w:val="clear" w:color="B5C6EA" w:fill="B5C6EA"/>
            <w:noWrap/>
            <w:vAlign w:val="center"/>
          </w:tcPr>
          <w:p w14:paraId="3360BC5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CC3411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11105</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E4A394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11053</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90AC07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1589</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C223F0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1629</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7ABE80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91.19%</w:t>
            </w:r>
          </w:p>
        </w:tc>
        <w:tc>
          <w:tcPr>
            <w:tcW w:w="1080" w:type="dxa"/>
            <w:tcBorders>
              <w:top w:val="single" w:color="FFFFFF" w:sz="4" w:space="0"/>
              <w:left w:val="single" w:color="FFFFFF" w:sz="4" w:space="0"/>
              <w:bottom w:val="single" w:color="FFFFFF" w:sz="4" w:space="0"/>
              <w:right w:val="single" w:color="FFFFFF" w:sz="4" w:space="0"/>
            </w:tcBorders>
            <w:shd w:val="clear" w:color="B5C6EA" w:fill="B5C6EA"/>
            <w:vAlign w:val="center"/>
          </w:tcPr>
          <w:p w14:paraId="537BF79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95.10%</w:t>
            </w:r>
          </w:p>
        </w:tc>
        <w:tc>
          <w:tcPr>
            <w:tcW w:w="1080" w:type="dxa"/>
            <w:tcBorders>
              <w:top w:val="single" w:color="FFFFFF" w:sz="4" w:space="0"/>
              <w:left w:val="single" w:color="FFFFFF" w:sz="4" w:space="0"/>
              <w:bottom w:val="single" w:color="FFFFFF" w:sz="4" w:space="0"/>
              <w:right w:val="nil"/>
            </w:tcBorders>
            <w:shd w:val="clear" w:color="B5C6EA" w:fill="B5C6EA"/>
            <w:vAlign w:val="center"/>
          </w:tcPr>
          <w:p w14:paraId="6B41012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95.13%</w:t>
            </w:r>
          </w:p>
        </w:tc>
      </w:tr>
      <w:tr w14:paraId="3449B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080" w:type="dxa"/>
            <w:tcBorders>
              <w:top w:val="single" w:color="FFFFFF" w:sz="4" w:space="0"/>
              <w:left w:val="nil"/>
              <w:bottom w:val="single" w:color="FFFFFF" w:sz="4" w:space="0"/>
              <w:right w:val="single" w:color="FFFFFF" w:sz="4" w:space="0"/>
            </w:tcBorders>
            <w:shd w:val="clear" w:color="D9E1F4" w:fill="D9E1F4"/>
            <w:noWrap/>
            <w:vAlign w:val="center"/>
          </w:tcPr>
          <w:p w14:paraId="0C476AD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4DDA64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10129</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BEB1B3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8923</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6B5D02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285</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423A27A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1513</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41B71E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83.94%</w:t>
            </w:r>
          </w:p>
        </w:tc>
        <w:tc>
          <w:tcPr>
            <w:tcW w:w="1080" w:type="dxa"/>
            <w:tcBorders>
              <w:top w:val="single" w:color="FFFFFF" w:sz="4" w:space="0"/>
              <w:left w:val="single" w:color="FFFFFF" w:sz="4" w:space="0"/>
              <w:bottom w:val="single" w:color="FFFFFF" w:sz="4" w:space="0"/>
              <w:right w:val="single" w:color="FFFFFF" w:sz="4" w:space="0"/>
            </w:tcBorders>
            <w:shd w:val="clear" w:color="D9E1F4" w:fill="D9E1F4"/>
            <w:vAlign w:val="center"/>
          </w:tcPr>
          <w:p w14:paraId="06B1E38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96.32%</w:t>
            </w:r>
          </w:p>
        </w:tc>
        <w:tc>
          <w:tcPr>
            <w:tcW w:w="1080" w:type="dxa"/>
            <w:tcBorders>
              <w:top w:val="single" w:color="FFFFFF" w:sz="4" w:space="0"/>
              <w:left w:val="single" w:color="FFFFFF" w:sz="4" w:space="0"/>
              <w:bottom w:val="single" w:color="FFFFFF" w:sz="4" w:space="0"/>
              <w:right w:val="nil"/>
            </w:tcBorders>
            <w:shd w:val="clear" w:color="D9E1F4" w:fill="D9E1F4"/>
            <w:vAlign w:val="center"/>
          </w:tcPr>
          <w:p w14:paraId="1885D8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95.03%</w:t>
            </w:r>
          </w:p>
        </w:tc>
      </w:tr>
      <w:tr w14:paraId="6E24D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080" w:type="dxa"/>
            <w:tcBorders>
              <w:top w:val="single" w:color="FFFFFF" w:sz="4" w:space="0"/>
              <w:left w:val="nil"/>
              <w:bottom w:val="nil"/>
              <w:right w:val="single" w:color="FFFFFF" w:sz="4" w:space="0"/>
            </w:tcBorders>
            <w:shd w:val="clear" w:color="B5C6EA" w:fill="B5C6EA"/>
            <w:noWrap/>
            <w:vAlign w:val="center"/>
          </w:tcPr>
          <w:p w14:paraId="0F10569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w:t>
            </w:r>
          </w:p>
        </w:tc>
        <w:tc>
          <w:tcPr>
            <w:tcW w:w="1080" w:type="dxa"/>
            <w:tcBorders>
              <w:top w:val="single" w:color="FFFFFF" w:sz="4" w:space="0"/>
              <w:left w:val="single" w:color="FFFFFF" w:sz="4" w:space="0"/>
              <w:bottom w:val="nil"/>
              <w:right w:val="single" w:color="FFFFFF" w:sz="4" w:space="0"/>
            </w:tcBorders>
            <w:shd w:val="clear" w:color="B5C6EA" w:fill="B5C6EA"/>
            <w:noWrap/>
            <w:vAlign w:val="center"/>
          </w:tcPr>
          <w:p w14:paraId="240792E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15407</w:t>
            </w:r>
          </w:p>
        </w:tc>
        <w:tc>
          <w:tcPr>
            <w:tcW w:w="1080" w:type="dxa"/>
            <w:tcBorders>
              <w:top w:val="single" w:color="FFFFFF" w:sz="4" w:space="0"/>
              <w:left w:val="single" w:color="FFFFFF" w:sz="4" w:space="0"/>
              <w:bottom w:val="nil"/>
              <w:right w:val="single" w:color="FFFFFF" w:sz="4" w:space="0"/>
            </w:tcBorders>
            <w:shd w:val="clear" w:color="B5C6EA" w:fill="B5C6EA"/>
            <w:noWrap/>
            <w:vAlign w:val="center"/>
          </w:tcPr>
          <w:p w14:paraId="27F79BD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14294</w:t>
            </w:r>
          </w:p>
        </w:tc>
        <w:tc>
          <w:tcPr>
            <w:tcW w:w="1080" w:type="dxa"/>
            <w:tcBorders>
              <w:top w:val="single" w:color="FFFFFF" w:sz="4" w:space="0"/>
              <w:left w:val="single" w:color="FFFFFF" w:sz="4" w:space="0"/>
              <w:bottom w:val="nil"/>
              <w:right w:val="single" w:color="FFFFFF" w:sz="4" w:space="0"/>
            </w:tcBorders>
            <w:shd w:val="clear" w:color="B5C6EA" w:fill="B5C6EA"/>
            <w:noWrap/>
            <w:vAlign w:val="center"/>
          </w:tcPr>
          <w:p w14:paraId="46959CF8">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265</w:t>
            </w:r>
          </w:p>
        </w:tc>
        <w:tc>
          <w:tcPr>
            <w:tcW w:w="1080" w:type="dxa"/>
            <w:tcBorders>
              <w:top w:val="single" w:color="FFFFFF" w:sz="4" w:space="0"/>
              <w:left w:val="single" w:color="FFFFFF" w:sz="4" w:space="0"/>
              <w:bottom w:val="nil"/>
              <w:right w:val="single" w:color="FFFFFF" w:sz="4" w:space="0"/>
            </w:tcBorders>
            <w:shd w:val="clear" w:color="B5C6EA" w:fill="B5C6EA"/>
            <w:noWrap/>
            <w:vAlign w:val="center"/>
          </w:tcPr>
          <w:p w14:paraId="3B209EC7">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3667</w:t>
            </w:r>
          </w:p>
        </w:tc>
        <w:tc>
          <w:tcPr>
            <w:tcW w:w="1080" w:type="dxa"/>
            <w:tcBorders>
              <w:top w:val="single" w:color="FFFFFF" w:sz="4" w:space="0"/>
              <w:left w:val="single" w:color="FFFFFF" w:sz="4" w:space="0"/>
              <w:bottom w:val="nil"/>
              <w:right w:val="single" w:color="FFFFFF" w:sz="4" w:space="0"/>
            </w:tcBorders>
            <w:shd w:val="clear" w:color="B5C6EA" w:fill="B5C6EA"/>
            <w:noWrap/>
            <w:vAlign w:val="center"/>
          </w:tcPr>
          <w:p w14:paraId="121143A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58.28%</w:t>
            </w:r>
          </w:p>
        </w:tc>
        <w:tc>
          <w:tcPr>
            <w:tcW w:w="1080" w:type="dxa"/>
            <w:tcBorders>
              <w:top w:val="single" w:color="FFFFFF" w:sz="4" w:space="0"/>
              <w:left w:val="single" w:color="FFFFFF" w:sz="4" w:space="0"/>
              <w:bottom w:val="nil"/>
              <w:right w:val="single" w:color="FFFFFF" w:sz="4" w:space="0"/>
            </w:tcBorders>
            <w:shd w:val="clear" w:color="B5C6EA" w:fill="B5C6EA"/>
            <w:noWrap/>
            <w:vAlign w:val="center"/>
          </w:tcPr>
          <w:p w14:paraId="12C48C4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94.79%</w:t>
            </w:r>
          </w:p>
        </w:tc>
        <w:tc>
          <w:tcPr>
            <w:tcW w:w="1080" w:type="dxa"/>
            <w:tcBorders>
              <w:top w:val="single" w:color="FFFFFF" w:sz="4" w:space="0"/>
              <w:left w:val="single" w:color="FFFFFF" w:sz="4" w:space="0"/>
              <w:bottom w:val="nil"/>
              <w:right w:val="nil"/>
            </w:tcBorders>
            <w:shd w:val="clear" w:color="B5C6EA" w:fill="B5C6EA"/>
            <w:noWrap/>
            <w:vAlign w:val="center"/>
          </w:tcPr>
          <w:p w14:paraId="62C427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94.44%</w:t>
            </w:r>
          </w:p>
        </w:tc>
      </w:tr>
    </w:tbl>
    <w:p w14:paraId="2B7BEA78">
      <w:pPr>
        <w:pStyle w:val="16"/>
        <w:ind w:left="0" w:leftChars="0" w:firstLine="0" w:firstLineChars="0"/>
        <w:rPr>
          <w:rFonts w:hint="default"/>
          <w:lang w:val="en-US" w:eastAsia="zh-CN"/>
        </w:rPr>
      </w:pPr>
    </w:p>
    <w:p w14:paraId="26418845">
      <w:pPr>
        <w:pStyle w:val="16"/>
        <w:rPr>
          <w:rFonts w:hint="default"/>
          <w:lang w:val="en-US" w:eastAsia="zh-CN"/>
        </w:rPr>
      </w:pPr>
      <w:r>
        <w:rPr>
          <w:rFonts w:hint="default"/>
          <w:lang w:val="en-US" w:eastAsia="zh-CN"/>
        </w:rPr>
        <w:t>在毕业生就业方面，各中职学校依据学生的专业、特长、就业愿望，结合产业人才需求，开拓毕业生就业渠道，确保学生就业质量。建立了完善的就业服务体系，与众多知名企业建立了学生实习就业渠道，以学校推荐和学生</w:t>
      </w:r>
      <w:r>
        <w:rPr>
          <w:rFonts w:hint="eastAsia"/>
          <w:lang w:val="en-US" w:eastAsia="zh-CN"/>
        </w:rPr>
        <w:t>自荐</w:t>
      </w:r>
      <w:r>
        <w:rPr>
          <w:rFonts w:hint="default"/>
          <w:lang w:val="en-US" w:eastAsia="zh-CN"/>
        </w:rPr>
        <w:t>等方式对口就业。同时，为贯彻落实省委、省政府鼓励学生到本地企业就业的政策，主动服务于江西、九江本地经济发展，积极投入强产兴城经济主战场。</w:t>
      </w:r>
      <w:r>
        <w:rPr>
          <w:rFonts w:hint="eastAsia"/>
          <w:lang w:val="en-US" w:eastAsia="zh-CN"/>
        </w:rPr>
        <w:t>2024年中职毕业生中在九江地区就业1410人，在江西省内就业2923人，就业留浔率为31.76%，留赣率为65.85%。</w:t>
      </w:r>
      <w:r>
        <w:rPr>
          <w:rFonts w:hint="default"/>
          <w:lang w:val="en-US" w:eastAsia="zh-CN"/>
        </w:rPr>
        <w:t>用人单位对毕业生的职业道德、事业心、责任感，专业业务知识、吃苦精神等给予了较高评价。</w:t>
      </w:r>
    </w:p>
    <w:p w14:paraId="5D98F433">
      <w:pPr>
        <w:pStyle w:val="16"/>
        <w:rPr>
          <w:rFonts w:hint="default"/>
          <w:lang w:val="en-US" w:eastAsia="zh-CN"/>
        </w:rPr>
      </w:pPr>
      <w:r>
        <w:rPr>
          <w:rFonts w:hint="eastAsia"/>
          <w:lang w:val="en-US" w:eastAsia="zh-CN"/>
        </w:rPr>
        <w:t>本</w:t>
      </w:r>
      <w:r>
        <w:rPr>
          <w:rFonts w:hint="default"/>
          <w:lang w:val="en-US" w:eastAsia="zh-CN"/>
        </w:rPr>
        <w:t>年</w:t>
      </w:r>
      <w:r>
        <w:rPr>
          <w:rFonts w:hint="eastAsia"/>
          <w:lang w:val="en-US" w:eastAsia="zh-CN"/>
        </w:rPr>
        <w:t>九江</w:t>
      </w:r>
      <w:r>
        <w:rPr>
          <w:rFonts w:hint="default"/>
          <w:lang w:val="en-US" w:eastAsia="zh-CN"/>
        </w:rPr>
        <w:t>市</w:t>
      </w:r>
      <w:r>
        <w:rPr>
          <w:rFonts w:hint="eastAsia"/>
          <w:lang w:val="en-US" w:eastAsia="zh-CN"/>
        </w:rPr>
        <w:t>中职</w:t>
      </w:r>
      <w:r>
        <w:rPr>
          <w:rFonts w:hint="default"/>
          <w:lang w:val="en-US" w:eastAsia="zh-CN"/>
        </w:rPr>
        <w:t>毕业生面向三次产业就业人数共计</w:t>
      </w:r>
      <w:r>
        <w:rPr>
          <w:rFonts w:hint="eastAsia"/>
          <w:lang w:val="en-US" w:eastAsia="zh-CN"/>
        </w:rPr>
        <w:t>4773人</w:t>
      </w:r>
      <w:r>
        <w:rPr>
          <w:rFonts w:hint="default"/>
          <w:lang w:val="en-US" w:eastAsia="zh-CN"/>
        </w:rPr>
        <w:t>，其中</w:t>
      </w:r>
      <w:r>
        <w:rPr>
          <w:rFonts w:hint="eastAsia"/>
          <w:lang w:val="en-US" w:eastAsia="zh-CN"/>
        </w:rPr>
        <w:t>面向</w:t>
      </w:r>
      <w:r>
        <w:rPr>
          <w:rFonts w:hint="default"/>
          <w:lang w:val="en-US" w:eastAsia="zh-CN"/>
        </w:rPr>
        <w:t>第一产业</w:t>
      </w:r>
      <w:r>
        <w:rPr>
          <w:rFonts w:hint="eastAsia"/>
          <w:lang w:val="en-US" w:eastAsia="zh-CN"/>
        </w:rPr>
        <w:t>81</w:t>
      </w:r>
      <w:r>
        <w:rPr>
          <w:rFonts w:hint="default"/>
          <w:lang w:val="en-US" w:eastAsia="zh-CN"/>
        </w:rPr>
        <w:t>人，</w:t>
      </w:r>
      <w:r>
        <w:rPr>
          <w:rFonts w:hint="eastAsia"/>
          <w:lang w:val="en-US" w:eastAsia="zh-CN"/>
        </w:rPr>
        <w:t>面向</w:t>
      </w:r>
      <w:r>
        <w:rPr>
          <w:rFonts w:hint="default"/>
          <w:lang w:val="en-US" w:eastAsia="zh-CN"/>
        </w:rPr>
        <w:t>第二产业</w:t>
      </w:r>
      <w:r>
        <w:rPr>
          <w:rFonts w:hint="eastAsia"/>
          <w:lang w:val="en-US" w:eastAsia="zh-CN"/>
        </w:rPr>
        <w:t>2010</w:t>
      </w:r>
      <w:r>
        <w:rPr>
          <w:rFonts w:hint="default"/>
          <w:lang w:val="en-US" w:eastAsia="zh-CN"/>
        </w:rPr>
        <w:t>人，</w:t>
      </w:r>
      <w:r>
        <w:rPr>
          <w:rFonts w:hint="eastAsia"/>
          <w:lang w:val="en-US" w:eastAsia="zh-CN"/>
        </w:rPr>
        <w:t>面向</w:t>
      </w:r>
      <w:r>
        <w:rPr>
          <w:rFonts w:hint="default"/>
          <w:lang w:val="en-US" w:eastAsia="zh-CN"/>
        </w:rPr>
        <w:t>第三产业</w:t>
      </w:r>
      <w:r>
        <w:rPr>
          <w:rFonts w:hint="eastAsia"/>
          <w:lang w:val="en-US" w:eastAsia="zh-CN"/>
        </w:rPr>
        <w:t>2790</w:t>
      </w:r>
      <w:r>
        <w:rPr>
          <w:rFonts w:hint="default"/>
          <w:lang w:val="en-US" w:eastAsia="zh-CN"/>
        </w:rPr>
        <w:t>人。</w:t>
      </w:r>
    </w:p>
    <w:p w14:paraId="37AE44D8">
      <w:pPr>
        <w:pStyle w:val="16"/>
        <w:ind w:left="0" w:leftChars="0" w:firstLine="0" w:firstLineChars="0"/>
        <w:jc w:val="center"/>
      </w:pPr>
      <w:r>
        <w:drawing>
          <wp:inline distT="0" distB="0" distL="114300" distR="114300">
            <wp:extent cx="4084955" cy="3152775"/>
            <wp:effectExtent l="4445" t="4445" r="6350" b="508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4552F0">
      <w:pPr>
        <w:pStyle w:val="40"/>
        <w:bidi w:val="0"/>
        <w:rPr>
          <w:rFonts w:hint="default"/>
          <w:lang w:val="en-US" w:eastAsia="zh-CN"/>
        </w:rPr>
      </w:pPr>
      <w:bookmarkStart w:id="44" w:name="_Toc30466"/>
      <w:r>
        <w:rPr>
          <w:rFonts w:hint="eastAsia"/>
          <w:lang w:val="en-US" w:eastAsia="zh-CN"/>
        </w:rPr>
        <w:t>图2：2024届中职毕业生面向三次产业就业人数比例</w:t>
      </w:r>
      <w:bookmarkEnd w:id="44"/>
    </w:p>
    <w:p w14:paraId="218D0526">
      <w:pPr>
        <w:pStyle w:val="16"/>
        <w:rPr>
          <w:rFonts w:hint="default"/>
          <w:lang w:val="en-US" w:eastAsia="zh-CN"/>
        </w:rPr>
      </w:pPr>
    </w:p>
    <w:p w14:paraId="7D74A5F5">
      <w:pPr>
        <w:pStyle w:val="36"/>
        <w:bidi w:val="0"/>
        <w:rPr>
          <w:rFonts w:hint="default"/>
          <w:lang w:val="en-US" w:eastAsia="zh-CN"/>
        </w:rPr>
      </w:pPr>
      <w:bookmarkStart w:id="45" w:name="_Toc31556"/>
      <w:bookmarkStart w:id="46" w:name="_Toc553"/>
      <w:r>
        <w:rPr>
          <w:rFonts w:hint="default"/>
          <w:lang w:val="en-US" w:eastAsia="zh-CN"/>
        </w:rPr>
        <w:t>2.5</w:t>
      </w:r>
      <w:r>
        <w:rPr>
          <w:rFonts w:hint="eastAsia"/>
          <w:lang w:val="en-US" w:eastAsia="zh-CN"/>
        </w:rPr>
        <w:t xml:space="preserve"> </w:t>
      </w:r>
      <w:r>
        <w:rPr>
          <w:rFonts w:hint="default"/>
          <w:lang w:val="en-US" w:eastAsia="zh-CN"/>
        </w:rPr>
        <w:t>升学情况</w:t>
      </w:r>
      <w:bookmarkEnd w:id="45"/>
      <w:bookmarkEnd w:id="46"/>
    </w:p>
    <w:p w14:paraId="58FEF726">
      <w:pPr>
        <w:pStyle w:val="16"/>
        <w:bidi w:val="0"/>
        <w:rPr>
          <w:rFonts w:hint="default"/>
          <w:lang w:val="en-US" w:eastAsia="zh-CN"/>
        </w:rPr>
      </w:pPr>
      <w:r>
        <w:rPr>
          <w:rFonts w:hint="default"/>
          <w:lang w:val="en-US" w:eastAsia="zh-CN"/>
        </w:rPr>
        <w:t>我市各中职学校结合学生需求与学校发展实际，充分鼓励学生通过努力进入高一级的学府深造，并根据自身能力适当调整课程设置。</w:t>
      </w:r>
      <w:r>
        <w:rPr>
          <w:rFonts w:hint="eastAsia"/>
          <w:lang w:val="en-US" w:eastAsia="zh-CN"/>
        </w:rPr>
        <w:t>本</w:t>
      </w:r>
      <w:r>
        <w:rPr>
          <w:rFonts w:hint="default"/>
          <w:lang w:val="en-US" w:eastAsia="zh-CN"/>
        </w:rPr>
        <w:t>年我市共有</w:t>
      </w:r>
      <w:r>
        <w:rPr>
          <w:rFonts w:hint="eastAsia"/>
          <w:lang w:val="en-US" w:eastAsia="zh-CN"/>
        </w:rPr>
        <w:t>8682</w:t>
      </w:r>
      <w:r>
        <w:rPr>
          <w:rFonts w:hint="default"/>
          <w:lang w:val="en-US" w:eastAsia="zh-CN"/>
        </w:rPr>
        <w:t>名中职毕业生升学，其中升入本科院校</w:t>
      </w:r>
      <w:r>
        <w:rPr>
          <w:rFonts w:hint="eastAsia"/>
          <w:lang w:val="en-US" w:eastAsia="zh-CN"/>
        </w:rPr>
        <w:t>276</w:t>
      </w:r>
      <w:r>
        <w:rPr>
          <w:rFonts w:hint="default"/>
          <w:lang w:val="en-US" w:eastAsia="zh-CN"/>
        </w:rPr>
        <w:t>人，升入高职高专院校</w:t>
      </w:r>
      <w:r>
        <w:rPr>
          <w:rFonts w:hint="eastAsia"/>
          <w:lang w:val="en-US" w:eastAsia="zh-CN"/>
        </w:rPr>
        <w:t>8406</w:t>
      </w:r>
      <w:r>
        <w:rPr>
          <w:rFonts w:hint="default"/>
          <w:lang w:val="en-US" w:eastAsia="zh-CN"/>
        </w:rPr>
        <w:t>人，升学率达到</w:t>
      </w:r>
      <w:r>
        <w:rPr>
          <w:rFonts w:hint="eastAsia"/>
          <w:lang w:val="en-US" w:eastAsia="zh-CN"/>
        </w:rPr>
        <w:t>59.54</w:t>
      </w:r>
      <w:r>
        <w:rPr>
          <w:rFonts w:hint="default"/>
          <w:lang w:val="en-US" w:eastAsia="zh-CN"/>
        </w:rPr>
        <w:t>%。</w:t>
      </w:r>
    </w:p>
    <w:p w14:paraId="41EE64B4">
      <w:pPr>
        <w:pStyle w:val="16"/>
        <w:bidi w:val="0"/>
        <w:rPr>
          <w:rFonts w:hint="default"/>
          <w:lang w:val="en-US" w:eastAsia="zh-CN"/>
        </w:rPr>
      </w:pPr>
    </w:p>
    <w:p w14:paraId="63655373">
      <w:pPr>
        <w:pStyle w:val="16"/>
        <w:bidi w:val="0"/>
        <w:rPr>
          <w:rFonts w:hint="default"/>
          <w:lang w:val="en-US" w:eastAsia="zh-CN"/>
        </w:rPr>
      </w:pPr>
    </w:p>
    <w:p w14:paraId="531F3EB8">
      <w:pPr>
        <w:pStyle w:val="38"/>
        <w:bidi w:val="0"/>
        <w:rPr>
          <w:rFonts w:hint="default"/>
          <w:lang w:val="en-US" w:eastAsia="zh-CN"/>
        </w:rPr>
      </w:pPr>
      <w:bookmarkStart w:id="47" w:name="_Toc8683"/>
      <w:r>
        <w:rPr>
          <w:rFonts w:hint="eastAsia"/>
          <w:lang w:val="en-US" w:eastAsia="zh-CN"/>
        </w:rPr>
        <w:t>表7：中职毕业生历年升学情况统计表</w:t>
      </w:r>
      <w:bookmarkEnd w:id="47"/>
    </w:p>
    <w:tbl>
      <w:tblPr>
        <w:tblStyle w:val="13"/>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3"/>
        <w:gridCol w:w="816"/>
        <w:gridCol w:w="763"/>
        <w:gridCol w:w="819"/>
        <w:gridCol w:w="763"/>
        <w:gridCol w:w="765"/>
        <w:gridCol w:w="764"/>
        <w:gridCol w:w="764"/>
        <w:gridCol w:w="764"/>
        <w:gridCol w:w="764"/>
        <w:gridCol w:w="772"/>
      </w:tblGrid>
      <w:tr w14:paraId="7E299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jc w:val="center"/>
        </w:trPr>
        <w:tc>
          <w:tcPr>
            <w:tcW w:w="448" w:type="pct"/>
            <w:vMerge w:val="restart"/>
            <w:tcBorders>
              <w:top w:val="nil"/>
              <w:left w:val="nil"/>
              <w:bottom w:val="single" w:color="FFFFFF" w:sz="12" w:space="0"/>
              <w:right w:val="single" w:color="FFFFFF" w:sz="4" w:space="0"/>
            </w:tcBorders>
            <w:shd w:val="clear" w:color="4874CB" w:fill="4874CB"/>
            <w:vAlign w:val="center"/>
          </w:tcPr>
          <w:p w14:paraId="429609E6">
            <w:pPr>
              <w:keepNext w:val="0"/>
              <w:keepLines w:val="0"/>
              <w:widowControl/>
              <w:suppressLineNumbers w:val="0"/>
              <w:jc w:val="center"/>
              <w:textAlignment w:val="center"/>
              <w:rPr>
                <w:rFonts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年份</w:t>
            </w:r>
          </w:p>
        </w:tc>
        <w:tc>
          <w:tcPr>
            <w:tcW w:w="478" w:type="pct"/>
            <w:vMerge w:val="restart"/>
            <w:tcBorders>
              <w:top w:val="nil"/>
              <w:left w:val="single" w:color="FFFFFF" w:sz="4" w:space="0"/>
              <w:bottom w:val="single" w:color="FFFFFF" w:sz="12" w:space="0"/>
              <w:right w:val="single" w:color="FFFFFF" w:sz="4" w:space="0"/>
            </w:tcBorders>
            <w:shd w:val="clear" w:color="4874CB" w:fill="4874CB"/>
            <w:vAlign w:val="center"/>
          </w:tcPr>
          <w:p w14:paraId="6C2EFB8C">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毕业生数</w:t>
            </w:r>
          </w:p>
        </w:tc>
        <w:tc>
          <w:tcPr>
            <w:tcW w:w="448" w:type="pct"/>
            <w:vMerge w:val="restart"/>
            <w:tcBorders>
              <w:top w:val="nil"/>
              <w:left w:val="single" w:color="FFFFFF" w:sz="4" w:space="0"/>
              <w:bottom w:val="single" w:color="FFFFFF" w:sz="12" w:space="0"/>
              <w:right w:val="single" w:color="FFFFFF" w:sz="4" w:space="0"/>
            </w:tcBorders>
            <w:shd w:val="clear" w:color="4874CB" w:fill="4874CB"/>
            <w:vAlign w:val="center"/>
          </w:tcPr>
          <w:p w14:paraId="46507289">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升学人数</w:t>
            </w:r>
          </w:p>
        </w:tc>
        <w:tc>
          <w:tcPr>
            <w:tcW w:w="480" w:type="pct"/>
            <w:vMerge w:val="restart"/>
            <w:tcBorders>
              <w:top w:val="nil"/>
              <w:left w:val="single" w:color="FFFFFF" w:sz="4" w:space="0"/>
              <w:bottom w:val="single" w:color="FFFFFF" w:sz="12" w:space="0"/>
              <w:right w:val="single" w:color="FFFFFF" w:sz="4" w:space="0"/>
            </w:tcBorders>
            <w:shd w:val="clear" w:color="4874CB" w:fill="4874CB"/>
            <w:vAlign w:val="center"/>
          </w:tcPr>
          <w:p w14:paraId="4EEAF682">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升学率（%）</w:t>
            </w:r>
          </w:p>
        </w:tc>
        <w:tc>
          <w:tcPr>
            <w:tcW w:w="897" w:type="pct"/>
            <w:gridSpan w:val="2"/>
            <w:tcBorders>
              <w:top w:val="nil"/>
              <w:left w:val="single" w:color="FFFFFF" w:sz="4" w:space="0"/>
              <w:bottom w:val="single" w:color="FFFFFF" w:sz="12" w:space="0"/>
              <w:right w:val="single" w:color="FFFFFF" w:sz="4" w:space="0"/>
            </w:tcBorders>
            <w:shd w:val="clear" w:color="4874CB" w:fill="4874CB"/>
            <w:noWrap/>
            <w:vAlign w:val="center"/>
          </w:tcPr>
          <w:p w14:paraId="208A915B">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升学去向</w:t>
            </w:r>
          </w:p>
        </w:tc>
        <w:tc>
          <w:tcPr>
            <w:tcW w:w="2245" w:type="pct"/>
            <w:gridSpan w:val="5"/>
            <w:tcBorders>
              <w:top w:val="nil"/>
              <w:left w:val="single" w:color="FFFFFF" w:sz="4" w:space="0"/>
              <w:bottom w:val="single" w:color="FFFFFF" w:sz="12" w:space="0"/>
              <w:right w:val="single" w:color="FFFFFF" w:sz="4" w:space="0"/>
            </w:tcBorders>
            <w:shd w:val="clear" w:color="4874CB" w:fill="4874CB"/>
            <w:noWrap/>
            <w:vAlign w:val="center"/>
          </w:tcPr>
          <w:p w14:paraId="26925FB2">
            <w:pPr>
              <w:keepNext w:val="0"/>
              <w:keepLines w:val="0"/>
              <w:widowControl/>
              <w:suppressLineNumbers w:val="0"/>
              <w:jc w:val="center"/>
              <w:textAlignment w:val="center"/>
              <w:rPr>
                <w:rFonts w:hint="eastAsia" w:ascii="仿宋_GB2312" w:hAnsi="宋体" w:eastAsia="仿宋_GB2312" w:cs="仿宋_GB2312"/>
                <w:b/>
                <w:bCs/>
                <w:i w:val="0"/>
                <w:iCs w:val="0"/>
                <w:color w:val="FFFFFF"/>
                <w:sz w:val="24"/>
                <w:szCs w:val="24"/>
                <w:u w:val="none"/>
              </w:rPr>
            </w:pPr>
            <w:r>
              <w:rPr>
                <w:rFonts w:hint="eastAsia" w:ascii="仿宋_GB2312" w:hAnsi="宋体" w:eastAsia="仿宋_GB2312" w:cs="仿宋_GB2312"/>
                <w:b/>
                <w:bCs/>
                <w:i w:val="0"/>
                <w:iCs w:val="0"/>
                <w:color w:val="FFFFFF"/>
                <w:kern w:val="0"/>
                <w:sz w:val="24"/>
                <w:szCs w:val="24"/>
                <w:u w:val="none"/>
                <w:lang w:val="en-US" w:eastAsia="zh-CN" w:bidi="ar"/>
              </w:rPr>
              <w:t>升学方式</w:t>
            </w:r>
          </w:p>
        </w:tc>
      </w:tr>
      <w:tr w14:paraId="33040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3" w:hRule="atLeast"/>
          <w:jc w:val="center"/>
        </w:trPr>
        <w:tc>
          <w:tcPr>
            <w:tcW w:w="448" w:type="pct"/>
            <w:vMerge w:val="continue"/>
            <w:tcBorders>
              <w:top w:val="nil"/>
              <w:left w:val="nil"/>
              <w:bottom w:val="single" w:color="FFFFFF" w:sz="12" w:space="0"/>
              <w:right w:val="single" w:color="FFFFFF" w:sz="4" w:space="0"/>
            </w:tcBorders>
            <w:shd w:val="clear" w:color="4874CB" w:fill="4874CB"/>
            <w:vAlign w:val="center"/>
          </w:tcPr>
          <w:p w14:paraId="0C863A4A">
            <w:pPr>
              <w:jc w:val="center"/>
              <w:rPr>
                <w:rFonts w:hint="eastAsia" w:ascii="仿宋_GB2312" w:hAnsi="宋体" w:eastAsia="仿宋_GB2312" w:cs="仿宋_GB2312"/>
                <w:b/>
                <w:bCs/>
                <w:i w:val="0"/>
                <w:iCs w:val="0"/>
                <w:color w:val="FFFFFF"/>
                <w:sz w:val="24"/>
                <w:szCs w:val="24"/>
                <w:u w:val="none"/>
              </w:rPr>
            </w:pPr>
          </w:p>
        </w:tc>
        <w:tc>
          <w:tcPr>
            <w:tcW w:w="478" w:type="pct"/>
            <w:vMerge w:val="continue"/>
            <w:tcBorders>
              <w:top w:val="nil"/>
              <w:left w:val="single" w:color="FFFFFF" w:sz="4" w:space="0"/>
              <w:bottom w:val="single" w:color="FFFFFF" w:sz="12" w:space="0"/>
              <w:right w:val="single" w:color="FFFFFF" w:sz="4" w:space="0"/>
            </w:tcBorders>
            <w:shd w:val="clear" w:color="4874CB" w:fill="4874CB"/>
            <w:vAlign w:val="center"/>
          </w:tcPr>
          <w:p w14:paraId="524BD9BE">
            <w:pPr>
              <w:jc w:val="center"/>
              <w:rPr>
                <w:rFonts w:hint="eastAsia" w:ascii="仿宋_GB2312" w:hAnsi="宋体" w:eastAsia="仿宋_GB2312" w:cs="仿宋_GB2312"/>
                <w:b/>
                <w:bCs/>
                <w:i w:val="0"/>
                <w:iCs w:val="0"/>
                <w:color w:val="FFFFFF"/>
                <w:sz w:val="24"/>
                <w:szCs w:val="24"/>
                <w:u w:val="none"/>
              </w:rPr>
            </w:pPr>
          </w:p>
        </w:tc>
        <w:tc>
          <w:tcPr>
            <w:tcW w:w="448" w:type="pct"/>
            <w:vMerge w:val="continue"/>
            <w:tcBorders>
              <w:top w:val="nil"/>
              <w:left w:val="single" w:color="FFFFFF" w:sz="4" w:space="0"/>
              <w:bottom w:val="single" w:color="FFFFFF" w:sz="12" w:space="0"/>
              <w:right w:val="single" w:color="FFFFFF" w:sz="4" w:space="0"/>
            </w:tcBorders>
            <w:shd w:val="clear" w:color="4874CB" w:fill="4874CB"/>
            <w:vAlign w:val="center"/>
          </w:tcPr>
          <w:p w14:paraId="354C02FD">
            <w:pPr>
              <w:jc w:val="center"/>
              <w:rPr>
                <w:rFonts w:hint="eastAsia" w:ascii="仿宋_GB2312" w:hAnsi="宋体" w:eastAsia="仿宋_GB2312" w:cs="仿宋_GB2312"/>
                <w:b/>
                <w:bCs/>
                <w:i w:val="0"/>
                <w:iCs w:val="0"/>
                <w:color w:val="FFFFFF"/>
                <w:sz w:val="24"/>
                <w:szCs w:val="24"/>
                <w:u w:val="none"/>
              </w:rPr>
            </w:pPr>
          </w:p>
        </w:tc>
        <w:tc>
          <w:tcPr>
            <w:tcW w:w="480" w:type="pct"/>
            <w:vMerge w:val="continue"/>
            <w:tcBorders>
              <w:top w:val="nil"/>
              <w:left w:val="single" w:color="FFFFFF" w:sz="4" w:space="0"/>
              <w:bottom w:val="single" w:color="FFFFFF" w:sz="12" w:space="0"/>
              <w:right w:val="single" w:color="FFFFFF" w:sz="4" w:space="0"/>
            </w:tcBorders>
            <w:shd w:val="clear" w:color="4874CB" w:fill="4874CB"/>
            <w:vAlign w:val="center"/>
          </w:tcPr>
          <w:p w14:paraId="1E4E3192">
            <w:pPr>
              <w:jc w:val="center"/>
              <w:rPr>
                <w:rFonts w:hint="eastAsia" w:ascii="仿宋_GB2312" w:hAnsi="宋体" w:eastAsia="仿宋_GB2312" w:cs="仿宋_GB2312"/>
                <w:b/>
                <w:bCs/>
                <w:i w:val="0"/>
                <w:iCs w:val="0"/>
                <w:color w:val="FFFFFF"/>
                <w:sz w:val="24"/>
                <w:szCs w:val="24"/>
                <w:u w:val="none"/>
              </w:rPr>
            </w:pPr>
          </w:p>
        </w:tc>
        <w:tc>
          <w:tcPr>
            <w:tcW w:w="448" w:type="pct"/>
            <w:tcBorders>
              <w:top w:val="single" w:color="FFFFFF" w:sz="12" w:space="0"/>
              <w:left w:val="single" w:color="FFFFFF" w:sz="4" w:space="0"/>
              <w:bottom w:val="single" w:color="FFFFFF" w:sz="4" w:space="0"/>
              <w:right w:val="single" w:color="FFFFFF" w:sz="4" w:space="0"/>
            </w:tcBorders>
            <w:shd w:val="clear" w:color="B5C6EA" w:fill="B5C6EA"/>
            <w:vAlign w:val="center"/>
          </w:tcPr>
          <w:p w14:paraId="55E6511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升入本科院校人数</w:t>
            </w:r>
          </w:p>
        </w:tc>
        <w:tc>
          <w:tcPr>
            <w:tcW w:w="449" w:type="pct"/>
            <w:tcBorders>
              <w:top w:val="single" w:color="FFFFFF" w:sz="12" w:space="0"/>
              <w:left w:val="single" w:color="FFFFFF" w:sz="4" w:space="0"/>
              <w:bottom w:val="single" w:color="FFFFFF" w:sz="4" w:space="0"/>
              <w:right w:val="single" w:color="FFFFFF" w:sz="4" w:space="0"/>
            </w:tcBorders>
            <w:shd w:val="clear" w:color="B5C6EA" w:fill="B5C6EA"/>
            <w:vAlign w:val="center"/>
          </w:tcPr>
          <w:p w14:paraId="4FAD1FF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升入高职高专院校人数</w:t>
            </w:r>
          </w:p>
        </w:tc>
        <w:tc>
          <w:tcPr>
            <w:tcW w:w="448" w:type="pct"/>
            <w:tcBorders>
              <w:top w:val="single" w:color="FFFFFF" w:sz="12" w:space="0"/>
              <w:left w:val="single" w:color="FFFFFF" w:sz="4" w:space="0"/>
              <w:bottom w:val="single" w:color="FFFFFF" w:sz="4" w:space="0"/>
              <w:right w:val="single" w:color="FFFFFF" w:sz="4" w:space="0"/>
            </w:tcBorders>
            <w:shd w:val="clear" w:color="B5C6EA" w:fill="B5C6EA"/>
            <w:vAlign w:val="center"/>
          </w:tcPr>
          <w:p w14:paraId="39AEB15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通过“三校生”考试升学人数</w:t>
            </w:r>
          </w:p>
        </w:tc>
        <w:tc>
          <w:tcPr>
            <w:tcW w:w="448" w:type="pct"/>
            <w:tcBorders>
              <w:top w:val="single" w:color="FFFFFF" w:sz="12" w:space="0"/>
              <w:left w:val="single" w:color="FFFFFF" w:sz="4" w:space="0"/>
              <w:bottom w:val="single" w:color="FFFFFF" w:sz="4" w:space="0"/>
              <w:right w:val="single" w:color="FFFFFF" w:sz="4" w:space="0"/>
            </w:tcBorders>
            <w:shd w:val="clear" w:color="B5C6EA" w:fill="B5C6EA"/>
            <w:vAlign w:val="center"/>
          </w:tcPr>
          <w:p w14:paraId="6E6E15F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通过对口单独招生升学人数</w:t>
            </w:r>
          </w:p>
        </w:tc>
        <w:tc>
          <w:tcPr>
            <w:tcW w:w="448" w:type="pct"/>
            <w:tcBorders>
              <w:top w:val="single" w:color="FFFFFF" w:sz="12" w:space="0"/>
              <w:left w:val="single" w:color="FFFFFF" w:sz="4" w:space="0"/>
              <w:bottom w:val="single" w:color="FFFFFF" w:sz="4" w:space="0"/>
              <w:right w:val="single" w:color="FFFFFF" w:sz="4" w:space="0"/>
            </w:tcBorders>
            <w:shd w:val="clear" w:color="B5C6EA" w:fill="B5C6EA"/>
            <w:vAlign w:val="center"/>
          </w:tcPr>
          <w:p w14:paraId="791DCA2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通过中高贯通升学人数</w:t>
            </w:r>
          </w:p>
        </w:tc>
        <w:tc>
          <w:tcPr>
            <w:tcW w:w="448" w:type="pct"/>
            <w:tcBorders>
              <w:top w:val="single" w:color="FFFFFF" w:sz="12" w:space="0"/>
              <w:left w:val="single" w:color="FFFFFF" w:sz="4" w:space="0"/>
              <w:bottom w:val="single" w:color="FFFFFF" w:sz="4" w:space="0"/>
              <w:right w:val="single" w:color="FFFFFF" w:sz="4" w:space="0"/>
            </w:tcBorders>
            <w:shd w:val="clear" w:color="B5C6EA" w:fill="B5C6EA"/>
            <w:vAlign w:val="center"/>
          </w:tcPr>
          <w:p w14:paraId="4E0B1D5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通过技能拔尖人才免试升学人数</w:t>
            </w:r>
          </w:p>
        </w:tc>
        <w:tc>
          <w:tcPr>
            <w:tcW w:w="451" w:type="pct"/>
            <w:tcBorders>
              <w:top w:val="single" w:color="FFFFFF" w:sz="12" w:space="0"/>
              <w:left w:val="single" w:color="FFFFFF" w:sz="4" w:space="0"/>
              <w:bottom w:val="single" w:color="FFFFFF" w:sz="4" w:space="0"/>
              <w:right w:val="nil"/>
            </w:tcBorders>
            <w:shd w:val="clear" w:color="B5C6EA" w:fill="B5C6EA"/>
            <w:vAlign w:val="center"/>
          </w:tcPr>
          <w:p w14:paraId="6E97C42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其他升学人数</w:t>
            </w:r>
          </w:p>
        </w:tc>
      </w:tr>
      <w:tr w14:paraId="6F217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jc w:val="center"/>
        </w:trPr>
        <w:tc>
          <w:tcPr>
            <w:tcW w:w="448" w:type="pct"/>
            <w:tcBorders>
              <w:top w:val="single" w:color="FFFFFF" w:sz="4" w:space="0"/>
              <w:left w:val="nil"/>
              <w:bottom w:val="single" w:color="FFFFFF" w:sz="4" w:space="0"/>
              <w:right w:val="single" w:color="FFFFFF" w:sz="4" w:space="0"/>
            </w:tcBorders>
            <w:shd w:val="clear" w:color="D9E1F4" w:fill="D9E1F4"/>
            <w:vAlign w:val="center"/>
          </w:tcPr>
          <w:p w14:paraId="0B3F138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2020</w:t>
            </w:r>
          </w:p>
        </w:tc>
        <w:tc>
          <w:tcPr>
            <w:tcW w:w="478" w:type="pct"/>
            <w:tcBorders>
              <w:top w:val="single" w:color="FFFFFF" w:sz="4" w:space="0"/>
              <w:left w:val="single" w:color="FFFFFF" w:sz="4" w:space="0"/>
              <w:bottom w:val="single" w:color="FFFFFF" w:sz="4" w:space="0"/>
              <w:right w:val="single" w:color="FFFFFF" w:sz="4" w:space="0"/>
            </w:tcBorders>
            <w:shd w:val="clear" w:color="D9E1F4" w:fill="D9E1F4"/>
            <w:vAlign w:val="center"/>
          </w:tcPr>
          <w:p w14:paraId="7887ADD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7364</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vAlign w:val="center"/>
          </w:tcPr>
          <w:p w14:paraId="5CE3D02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4116</w:t>
            </w:r>
          </w:p>
        </w:tc>
        <w:tc>
          <w:tcPr>
            <w:tcW w:w="480" w:type="pct"/>
            <w:tcBorders>
              <w:top w:val="single" w:color="FFFFFF" w:sz="4" w:space="0"/>
              <w:left w:val="single" w:color="FFFFFF" w:sz="4" w:space="0"/>
              <w:bottom w:val="single" w:color="FFFFFF" w:sz="4" w:space="0"/>
              <w:right w:val="single" w:color="FFFFFF" w:sz="4" w:space="0"/>
            </w:tcBorders>
            <w:shd w:val="clear" w:color="D9E1F4" w:fill="D9E1F4"/>
            <w:vAlign w:val="center"/>
          </w:tcPr>
          <w:p w14:paraId="54C58B0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55.89</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vAlign w:val="center"/>
          </w:tcPr>
          <w:p w14:paraId="7B4837C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239</w:t>
            </w:r>
          </w:p>
        </w:tc>
        <w:tc>
          <w:tcPr>
            <w:tcW w:w="449" w:type="pct"/>
            <w:tcBorders>
              <w:top w:val="single" w:color="FFFFFF" w:sz="4" w:space="0"/>
              <w:left w:val="single" w:color="FFFFFF" w:sz="4" w:space="0"/>
              <w:bottom w:val="single" w:color="FFFFFF" w:sz="4" w:space="0"/>
              <w:right w:val="single" w:color="FFFFFF" w:sz="4" w:space="0"/>
            </w:tcBorders>
            <w:shd w:val="clear" w:color="D9E1F4" w:fill="D9E1F4"/>
            <w:vAlign w:val="center"/>
          </w:tcPr>
          <w:p w14:paraId="4A155EE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3877</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vAlign w:val="center"/>
          </w:tcPr>
          <w:p w14:paraId="618DCD8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1201</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vAlign w:val="center"/>
          </w:tcPr>
          <w:p w14:paraId="6C06981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2140</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vAlign w:val="center"/>
          </w:tcPr>
          <w:p w14:paraId="0D6DD00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737</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vAlign w:val="center"/>
          </w:tcPr>
          <w:p w14:paraId="094C87A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w:t>
            </w:r>
          </w:p>
        </w:tc>
        <w:tc>
          <w:tcPr>
            <w:tcW w:w="451" w:type="pct"/>
            <w:tcBorders>
              <w:top w:val="single" w:color="FFFFFF" w:sz="4" w:space="0"/>
              <w:left w:val="single" w:color="FFFFFF" w:sz="4" w:space="0"/>
              <w:bottom w:val="single" w:color="FFFFFF" w:sz="4" w:space="0"/>
              <w:right w:val="nil"/>
            </w:tcBorders>
            <w:shd w:val="clear" w:color="D9E1F4" w:fill="D9E1F4"/>
            <w:vAlign w:val="center"/>
          </w:tcPr>
          <w:p w14:paraId="4C8A1EB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w:t>
            </w:r>
          </w:p>
        </w:tc>
      </w:tr>
      <w:tr w14:paraId="34527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448" w:type="pct"/>
            <w:tcBorders>
              <w:top w:val="single" w:color="FFFFFF" w:sz="4" w:space="0"/>
              <w:left w:val="nil"/>
              <w:bottom w:val="single" w:color="FFFFFF" w:sz="4" w:space="0"/>
              <w:right w:val="single" w:color="FFFFFF" w:sz="4" w:space="0"/>
            </w:tcBorders>
            <w:shd w:val="clear" w:color="B5C6EA" w:fill="B5C6EA"/>
            <w:vAlign w:val="center"/>
          </w:tcPr>
          <w:p w14:paraId="260D12C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w:t>
            </w:r>
          </w:p>
        </w:tc>
        <w:tc>
          <w:tcPr>
            <w:tcW w:w="478" w:type="pct"/>
            <w:tcBorders>
              <w:top w:val="single" w:color="FFFFFF" w:sz="4" w:space="0"/>
              <w:left w:val="single" w:color="FFFFFF" w:sz="4" w:space="0"/>
              <w:bottom w:val="single" w:color="FFFFFF" w:sz="4" w:space="0"/>
              <w:right w:val="single" w:color="FFFFFF" w:sz="4" w:space="0"/>
            </w:tcBorders>
            <w:shd w:val="clear" w:color="B5C6EA" w:fill="B5C6EA"/>
            <w:vAlign w:val="center"/>
          </w:tcPr>
          <w:p w14:paraId="7765903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7948</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vAlign w:val="center"/>
          </w:tcPr>
          <w:p w14:paraId="1ABF7F0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4680</w:t>
            </w:r>
          </w:p>
        </w:tc>
        <w:tc>
          <w:tcPr>
            <w:tcW w:w="480" w:type="pct"/>
            <w:tcBorders>
              <w:top w:val="single" w:color="FFFFFF" w:sz="4" w:space="0"/>
              <w:left w:val="single" w:color="FFFFFF" w:sz="4" w:space="0"/>
              <w:bottom w:val="single" w:color="FFFFFF" w:sz="4" w:space="0"/>
              <w:right w:val="single" w:color="FFFFFF" w:sz="4" w:space="0"/>
            </w:tcBorders>
            <w:shd w:val="clear" w:color="B5C6EA" w:fill="B5C6EA"/>
            <w:vAlign w:val="center"/>
          </w:tcPr>
          <w:p w14:paraId="6C68FF8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59.42</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vAlign w:val="center"/>
          </w:tcPr>
          <w:p w14:paraId="3A56930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w:t>
            </w:r>
          </w:p>
        </w:tc>
        <w:tc>
          <w:tcPr>
            <w:tcW w:w="449" w:type="pct"/>
            <w:tcBorders>
              <w:top w:val="single" w:color="FFFFFF" w:sz="4" w:space="0"/>
              <w:left w:val="single" w:color="FFFFFF" w:sz="4" w:space="0"/>
              <w:bottom w:val="single" w:color="FFFFFF" w:sz="4" w:space="0"/>
              <w:right w:val="single" w:color="FFFFFF" w:sz="4" w:space="0"/>
            </w:tcBorders>
            <w:shd w:val="clear" w:color="B5C6EA" w:fill="B5C6EA"/>
            <w:vAlign w:val="center"/>
          </w:tcPr>
          <w:p w14:paraId="194DC95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4478</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vAlign w:val="center"/>
          </w:tcPr>
          <w:p w14:paraId="36A2A41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1426</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vAlign w:val="center"/>
          </w:tcPr>
          <w:p w14:paraId="2E6D0D0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2176</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vAlign w:val="center"/>
          </w:tcPr>
          <w:p w14:paraId="17218DE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1004</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vAlign w:val="center"/>
          </w:tcPr>
          <w:p w14:paraId="3EC716A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w:t>
            </w:r>
          </w:p>
        </w:tc>
        <w:tc>
          <w:tcPr>
            <w:tcW w:w="451" w:type="pct"/>
            <w:tcBorders>
              <w:top w:val="single" w:color="FFFFFF" w:sz="4" w:space="0"/>
              <w:left w:val="single" w:color="FFFFFF" w:sz="4" w:space="0"/>
              <w:bottom w:val="single" w:color="FFFFFF" w:sz="4" w:space="0"/>
              <w:right w:val="nil"/>
            </w:tcBorders>
            <w:shd w:val="clear" w:color="B5C6EA" w:fill="B5C6EA"/>
            <w:vAlign w:val="center"/>
          </w:tcPr>
          <w:p w14:paraId="5BE90AE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47</w:t>
            </w:r>
          </w:p>
        </w:tc>
      </w:tr>
      <w:tr w14:paraId="0BB02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jc w:val="center"/>
        </w:trPr>
        <w:tc>
          <w:tcPr>
            <w:tcW w:w="448" w:type="pct"/>
            <w:tcBorders>
              <w:top w:val="single" w:color="FFFFFF" w:sz="4" w:space="0"/>
              <w:left w:val="nil"/>
              <w:bottom w:val="single" w:color="FFFFFF" w:sz="4" w:space="0"/>
              <w:right w:val="single" w:color="FFFFFF" w:sz="4" w:space="0"/>
            </w:tcBorders>
            <w:shd w:val="clear" w:color="D9E1F4" w:fill="D9E1F4"/>
            <w:noWrap/>
            <w:vAlign w:val="center"/>
          </w:tcPr>
          <w:p w14:paraId="13DD65B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2022</w:t>
            </w:r>
          </w:p>
        </w:tc>
        <w:tc>
          <w:tcPr>
            <w:tcW w:w="478" w:type="pct"/>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7EF55B5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11105</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CCBD94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7461</w:t>
            </w:r>
          </w:p>
        </w:tc>
        <w:tc>
          <w:tcPr>
            <w:tcW w:w="480" w:type="pct"/>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24A2E43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67.19</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655BB7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148</w:t>
            </w:r>
          </w:p>
        </w:tc>
        <w:tc>
          <w:tcPr>
            <w:tcW w:w="449" w:type="pct"/>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3CCCED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7313</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1A2FA00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2793</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5D23BD0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2758</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3DDE4A7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1614</w:t>
            </w:r>
          </w:p>
        </w:tc>
        <w:tc>
          <w:tcPr>
            <w:tcW w:w="448" w:type="pct"/>
            <w:tcBorders>
              <w:top w:val="single" w:color="FFFFFF" w:sz="4" w:space="0"/>
              <w:left w:val="single" w:color="FFFFFF" w:sz="4" w:space="0"/>
              <w:bottom w:val="single" w:color="FFFFFF" w:sz="4" w:space="0"/>
              <w:right w:val="single" w:color="FFFFFF" w:sz="4" w:space="0"/>
            </w:tcBorders>
            <w:shd w:val="clear" w:color="D9E1F4" w:fill="D9E1F4"/>
            <w:noWrap/>
            <w:vAlign w:val="center"/>
          </w:tcPr>
          <w:p w14:paraId="09B94A9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w:t>
            </w:r>
          </w:p>
        </w:tc>
        <w:tc>
          <w:tcPr>
            <w:tcW w:w="451" w:type="pct"/>
            <w:tcBorders>
              <w:top w:val="single" w:color="FFFFFF" w:sz="4" w:space="0"/>
              <w:left w:val="single" w:color="FFFFFF" w:sz="4" w:space="0"/>
              <w:bottom w:val="single" w:color="FFFFFF" w:sz="4" w:space="0"/>
              <w:right w:val="nil"/>
            </w:tcBorders>
            <w:shd w:val="clear" w:color="D9E1F4" w:fill="D9E1F4"/>
            <w:noWrap/>
            <w:vAlign w:val="center"/>
          </w:tcPr>
          <w:p w14:paraId="17A31E8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277</w:t>
            </w:r>
          </w:p>
        </w:tc>
      </w:tr>
      <w:tr w14:paraId="7E87C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448" w:type="pct"/>
            <w:tcBorders>
              <w:top w:val="single" w:color="FFFFFF" w:sz="4" w:space="0"/>
              <w:left w:val="nil"/>
              <w:bottom w:val="single" w:color="FFFFFF" w:sz="4" w:space="0"/>
              <w:right w:val="single" w:color="FFFFFF" w:sz="4" w:space="0"/>
            </w:tcBorders>
            <w:shd w:val="clear" w:color="B5C6EA" w:fill="B5C6EA"/>
            <w:noWrap/>
            <w:vAlign w:val="center"/>
          </w:tcPr>
          <w:p w14:paraId="35EE050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w:t>
            </w:r>
          </w:p>
        </w:tc>
        <w:tc>
          <w:tcPr>
            <w:tcW w:w="478" w:type="pct"/>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472F7F6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10129</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34DC89C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7055</w:t>
            </w:r>
          </w:p>
        </w:tc>
        <w:tc>
          <w:tcPr>
            <w:tcW w:w="480" w:type="pct"/>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034211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69.65</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5859719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281</w:t>
            </w:r>
          </w:p>
        </w:tc>
        <w:tc>
          <w:tcPr>
            <w:tcW w:w="449" w:type="pct"/>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2A48A7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6774</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F5D450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2927</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1A5CA0E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2666</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086FFFF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1267</w:t>
            </w:r>
          </w:p>
        </w:tc>
        <w:tc>
          <w:tcPr>
            <w:tcW w:w="448" w:type="pct"/>
            <w:tcBorders>
              <w:top w:val="single" w:color="FFFFFF" w:sz="4" w:space="0"/>
              <w:left w:val="single" w:color="FFFFFF" w:sz="4" w:space="0"/>
              <w:bottom w:val="single" w:color="FFFFFF" w:sz="4" w:space="0"/>
              <w:right w:val="single" w:color="FFFFFF" w:sz="4" w:space="0"/>
            </w:tcBorders>
            <w:shd w:val="clear" w:color="B5C6EA" w:fill="B5C6EA"/>
            <w:noWrap/>
            <w:vAlign w:val="center"/>
          </w:tcPr>
          <w:p w14:paraId="6EF0D27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w:t>
            </w:r>
          </w:p>
        </w:tc>
        <w:tc>
          <w:tcPr>
            <w:tcW w:w="451" w:type="pct"/>
            <w:tcBorders>
              <w:top w:val="single" w:color="FFFFFF" w:sz="4" w:space="0"/>
              <w:left w:val="single" w:color="FFFFFF" w:sz="4" w:space="0"/>
              <w:bottom w:val="single" w:color="FFFFFF" w:sz="4" w:space="0"/>
              <w:right w:val="nil"/>
            </w:tcBorders>
            <w:shd w:val="clear" w:color="B5C6EA" w:fill="B5C6EA"/>
            <w:noWrap/>
            <w:vAlign w:val="center"/>
          </w:tcPr>
          <w:p w14:paraId="5E85084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175</w:t>
            </w:r>
          </w:p>
        </w:tc>
      </w:tr>
      <w:tr w14:paraId="1398E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jc w:val="center"/>
        </w:trPr>
        <w:tc>
          <w:tcPr>
            <w:tcW w:w="448" w:type="pct"/>
            <w:tcBorders>
              <w:top w:val="single" w:color="FFFFFF" w:sz="4" w:space="0"/>
              <w:left w:val="nil"/>
              <w:bottom w:val="nil"/>
              <w:right w:val="single" w:color="FFFFFF" w:sz="4" w:space="0"/>
            </w:tcBorders>
            <w:shd w:val="clear" w:color="D9E1F4" w:fill="D9E1F4"/>
            <w:noWrap/>
            <w:vAlign w:val="center"/>
          </w:tcPr>
          <w:p w14:paraId="3D4F3E2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w:t>
            </w:r>
          </w:p>
        </w:tc>
        <w:tc>
          <w:tcPr>
            <w:tcW w:w="478" w:type="pct"/>
            <w:tcBorders>
              <w:top w:val="single" w:color="FFFFFF" w:sz="4" w:space="0"/>
              <w:left w:val="single" w:color="FFFFFF" w:sz="4" w:space="0"/>
              <w:bottom w:val="nil"/>
              <w:right w:val="single" w:color="FFFFFF" w:sz="4" w:space="0"/>
            </w:tcBorders>
            <w:shd w:val="clear" w:color="D9E1F4" w:fill="D9E1F4"/>
            <w:noWrap/>
            <w:vAlign w:val="center"/>
          </w:tcPr>
          <w:p w14:paraId="0D0A977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14117</w:t>
            </w:r>
          </w:p>
        </w:tc>
        <w:tc>
          <w:tcPr>
            <w:tcW w:w="448" w:type="pct"/>
            <w:tcBorders>
              <w:top w:val="single" w:color="FFFFFF" w:sz="4" w:space="0"/>
              <w:left w:val="single" w:color="FFFFFF" w:sz="4" w:space="0"/>
              <w:bottom w:val="nil"/>
              <w:right w:val="single" w:color="FFFFFF" w:sz="4" w:space="0"/>
            </w:tcBorders>
            <w:shd w:val="clear" w:color="D9E1F4" w:fill="D9E1F4"/>
            <w:noWrap/>
            <w:vAlign w:val="center"/>
          </w:tcPr>
          <w:p w14:paraId="0FFEB3A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8682</w:t>
            </w:r>
          </w:p>
        </w:tc>
        <w:tc>
          <w:tcPr>
            <w:tcW w:w="480" w:type="pct"/>
            <w:tcBorders>
              <w:top w:val="single" w:color="FFFFFF" w:sz="4" w:space="0"/>
              <w:left w:val="single" w:color="FFFFFF" w:sz="4" w:space="0"/>
              <w:bottom w:val="nil"/>
              <w:right w:val="single" w:color="FFFFFF" w:sz="4" w:space="0"/>
            </w:tcBorders>
            <w:shd w:val="clear" w:color="D9E1F4" w:fill="D9E1F4"/>
            <w:noWrap/>
            <w:vAlign w:val="center"/>
          </w:tcPr>
          <w:p w14:paraId="53515118">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60.07</w:t>
            </w:r>
          </w:p>
        </w:tc>
        <w:tc>
          <w:tcPr>
            <w:tcW w:w="448" w:type="pct"/>
            <w:tcBorders>
              <w:top w:val="single" w:color="FFFFFF" w:sz="4" w:space="0"/>
              <w:left w:val="single" w:color="FFFFFF" w:sz="4" w:space="0"/>
              <w:bottom w:val="nil"/>
              <w:right w:val="single" w:color="FFFFFF" w:sz="4" w:space="0"/>
            </w:tcBorders>
            <w:shd w:val="clear" w:color="D9E1F4" w:fill="D9E1F4"/>
            <w:noWrap/>
            <w:vAlign w:val="center"/>
          </w:tcPr>
          <w:p w14:paraId="392D425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276</w:t>
            </w:r>
          </w:p>
        </w:tc>
        <w:tc>
          <w:tcPr>
            <w:tcW w:w="449" w:type="pct"/>
            <w:tcBorders>
              <w:top w:val="single" w:color="FFFFFF" w:sz="4" w:space="0"/>
              <w:left w:val="single" w:color="FFFFFF" w:sz="4" w:space="0"/>
              <w:bottom w:val="nil"/>
              <w:right w:val="single" w:color="FFFFFF" w:sz="4" w:space="0"/>
            </w:tcBorders>
            <w:shd w:val="clear" w:color="D9E1F4" w:fill="D9E1F4"/>
            <w:noWrap/>
            <w:vAlign w:val="center"/>
          </w:tcPr>
          <w:p w14:paraId="4D967D92">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8298</w:t>
            </w:r>
          </w:p>
        </w:tc>
        <w:tc>
          <w:tcPr>
            <w:tcW w:w="448" w:type="pct"/>
            <w:tcBorders>
              <w:top w:val="single" w:color="FFFFFF" w:sz="4" w:space="0"/>
              <w:left w:val="single" w:color="FFFFFF" w:sz="4" w:space="0"/>
              <w:bottom w:val="nil"/>
              <w:right w:val="single" w:color="FFFFFF" w:sz="4" w:space="0"/>
            </w:tcBorders>
            <w:shd w:val="clear" w:color="D9E1F4" w:fill="D9E1F4"/>
            <w:noWrap/>
            <w:vAlign w:val="center"/>
          </w:tcPr>
          <w:p w14:paraId="739341BD">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2910</w:t>
            </w:r>
          </w:p>
        </w:tc>
        <w:tc>
          <w:tcPr>
            <w:tcW w:w="448" w:type="pct"/>
            <w:tcBorders>
              <w:top w:val="single" w:color="FFFFFF" w:sz="4" w:space="0"/>
              <w:left w:val="single" w:color="FFFFFF" w:sz="4" w:space="0"/>
              <w:bottom w:val="nil"/>
              <w:right w:val="single" w:color="FFFFFF" w:sz="4" w:space="0"/>
            </w:tcBorders>
            <w:shd w:val="clear" w:color="D9E1F4" w:fill="D9E1F4"/>
            <w:noWrap/>
            <w:vAlign w:val="center"/>
          </w:tcPr>
          <w:p w14:paraId="5B12ACC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3283</w:t>
            </w:r>
          </w:p>
        </w:tc>
        <w:tc>
          <w:tcPr>
            <w:tcW w:w="448" w:type="pct"/>
            <w:tcBorders>
              <w:top w:val="single" w:color="FFFFFF" w:sz="4" w:space="0"/>
              <w:left w:val="single" w:color="FFFFFF" w:sz="4" w:space="0"/>
              <w:bottom w:val="nil"/>
              <w:right w:val="single" w:color="FFFFFF" w:sz="4" w:space="0"/>
            </w:tcBorders>
            <w:shd w:val="clear" w:color="D9E1F4" w:fill="D9E1F4"/>
            <w:noWrap/>
            <w:vAlign w:val="center"/>
          </w:tcPr>
          <w:p w14:paraId="0EE4FFA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2111</w:t>
            </w:r>
          </w:p>
        </w:tc>
        <w:tc>
          <w:tcPr>
            <w:tcW w:w="448" w:type="pct"/>
            <w:tcBorders>
              <w:top w:val="single" w:color="FFFFFF" w:sz="4" w:space="0"/>
              <w:left w:val="single" w:color="FFFFFF" w:sz="4" w:space="0"/>
              <w:bottom w:val="nil"/>
              <w:right w:val="single" w:color="FFFFFF" w:sz="4" w:space="0"/>
            </w:tcBorders>
            <w:shd w:val="clear" w:color="D9E1F4" w:fill="D9E1F4"/>
            <w:noWrap/>
            <w:vAlign w:val="center"/>
          </w:tcPr>
          <w:p w14:paraId="7D30BD4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53</w:t>
            </w:r>
          </w:p>
        </w:tc>
        <w:tc>
          <w:tcPr>
            <w:tcW w:w="451" w:type="pct"/>
            <w:tcBorders>
              <w:top w:val="single" w:color="FFFFFF" w:sz="4" w:space="0"/>
              <w:left w:val="single" w:color="FFFFFF" w:sz="4" w:space="0"/>
              <w:bottom w:val="nil"/>
              <w:right w:val="nil"/>
            </w:tcBorders>
            <w:shd w:val="clear" w:color="D9E1F4" w:fill="D9E1F4"/>
            <w:noWrap/>
            <w:vAlign w:val="center"/>
          </w:tcPr>
          <w:p w14:paraId="6743A6E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217</w:t>
            </w:r>
          </w:p>
        </w:tc>
      </w:tr>
    </w:tbl>
    <w:p w14:paraId="7E7B44D3">
      <w:pPr>
        <w:pStyle w:val="16"/>
        <w:ind w:left="0" w:leftChars="0" w:firstLine="0" w:firstLineChars="0"/>
        <w:rPr>
          <w:rFonts w:hint="default"/>
          <w:lang w:val="en-US" w:eastAsia="zh-CN"/>
        </w:rPr>
      </w:pPr>
    </w:p>
    <w:p w14:paraId="50DCFD30">
      <w:pPr>
        <w:pStyle w:val="36"/>
        <w:bidi w:val="0"/>
        <w:rPr>
          <w:rFonts w:hint="default"/>
          <w:lang w:val="en-US" w:eastAsia="zh-CN"/>
        </w:rPr>
      </w:pPr>
      <w:bookmarkStart w:id="48" w:name="_Toc30208"/>
      <w:bookmarkStart w:id="49" w:name="_Toc18880"/>
      <w:r>
        <w:rPr>
          <w:rFonts w:hint="default"/>
          <w:lang w:val="en-US" w:eastAsia="zh-CN"/>
        </w:rPr>
        <w:t>2.</w:t>
      </w:r>
      <w:r>
        <w:rPr>
          <w:rFonts w:hint="eastAsia"/>
          <w:lang w:val="en-US" w:eastAsia="zh-CN"/>
        </w:rPr>
        <w:t xml:space="preserve">6 </w:t>
      </w:r>
      <w:r>
        <w:rPr>
          <w:rFonts w:hint="default"/>
          <w:lang w:val="en-US" w:eastAsia="zh-CN"/>
        </w:rPr>
        <w:t>技能大赛</w:t>
      </w:r>
      <w:bookmarkEnd w:id="48"/>
      <w:bookmarkEnd w:id="49"/>
    </w:p>
    <w:p w14:paraId="249AB10F">
      <w:pPr>
        <w:pStyle w:val="16"/>
        <w:bidi w:val="0"/>
        <w:rPr>
          <w:rFonts w:hint="default"/>
          <w:color w:val="auto"/>
          <w:lang w:val="en-US" w:eastAsia="zh-CN"/>
        </w:rPr>
      </w:pPr>
      <w:r>
        <w:rPr>
          <w:rFonts w:hint="eastAsia"/>
          <w:color w:val="auto"/>
          <w:lang w:val="en-US" w:eastAsia="zh-CN"/>
        </w:rPr>
        <w:t>各中职</w:t>
      </w:r>
      <w:r>
        <w:rPr>
          <w:rFonts w:hint="default"/>
          <w:color w:val="auto"/>
          <w:lang w:val="en-US" w:eastAsia="zh-CN"/>
        </w:rPr>
        <w:t>学校高度重视技能大赛的引领作用，坚持以赛促教、以赛促学，引导深化教育教学内涵，积极构建“岗课赛证”融合的人才培养模式，促进专业人才链培育与本地产业链对接，培养选拔出一大批技能型人才，源源不断输往企业生产管理一线，职业教育服务地方经济发展能力大幅提升。</w:t>
      </w:r>
    </w:p>
    <w:p w14:paraId="5FF4BAFF">
      <w:pPr>
        <w:pStyle w:val="16"/>
        <w:bidi w:val="0"/>
        <w:rPr>
          <w:rFonts w:hint="default"/>
          <w:color w:val="auto"/>
          <w:lang w:val="en-US" w:eastAsia="zh-CN"/>
        </w:rPr>
      </w:pPr>
      <w:r>
        <w:rPr>
          <w:rFonts w:hint="eastAsia"/>
          <w:color w:val="auto"/>
          <w:lang w:val="en-US" w:eastAsia="zh-CN"/>
        </w:rPr>
        <w:t>2024年全市各中职学校毕业生，共获得世界职业院校技能大赛总决赛争夺赛铜牌4人次；全国职业院校技能大赛一等奖1人次，二等奖1人次，三等奖5人次；江西省职业院校技能大赛一等奖22人次，二等奖57人次，三等奖96人次。</w:t>
      </w:r>
    </w:p>
    <w:p w14:paraId="3BD5645D">
      <w:pPr>
        <w:pStyle w:val="16"/>
        <w:bidi w:val="0"/>
        <w:ind w:left="0" w:leftChars="0" w:firstLine="0" w:firstLineChars="0"/>
        <w:jc w:val="center"/>
        <w:rPr>
          <w:rFonts w:hint="eastAsia"/>
          <w:color w:val="auto"/>
          <w:lang w:val="en-US" w:eastAsia="zh-CN"/>
        </w:rPr>
      </w:pPr>
      <w:r>
        <w:rPr>
          <w:rFonts w:hint="eastAsia" w:ascii="楷体_GB2312" w:hAnsi="楷体_GB2312" w:eastAsia="楷体_GB2312" w:cs="楷体_GB2312"/>
          <w:b/>
          <w:bCs/>
          <w:snapToGrid/>
          <w:kern w:val="2"/>
          <w:sz w:val="32"/>
          <w:szCs w:val="40"/>
          <w:lang w:val="en-US" w:eastAsia="zh-CN"/>
        </w:rPr>
        <w:drawing>
          <wp:inline distT="0" distB="0" distL="114300" distR="114300">
            <wp:extent cx="3832225" cy="5111750"/>
            <wp:effectExtent l="0" t="0" r="15875" b="12700"/>
            <wp:docPr id="14" name="图片 14" descr="f63db66043a25d3e0a1d31e85f3a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63db66043a25d3e0a1d31e85f3a151"/>
                    <pic:cNvPicPr>
                      <a:picLocks noChangeAspect="1"/>
                    </pic:cNvPicPr>
                  </pic:nvPicPr>
                  <pic:blipFill>
                    <a:blip r:embed="rId14"/>
                    <a:stretch>
                      <a:fillRect/>
                    </a:stretch>
                  </pic:blipFill>
                  <pic:spPr>
                    <a:xfrm>
                      <a:off x="0" y="0"/>
                      <a:ext cx="3832225" cy="5111750"/>
                    </a:xfrm>
                    <a:prstGeom prst="rect">
                      <a:avLst/>
                    </a:prstGeom>
                  </pic:spPr>
                </pic:pic>
              </a:graphicData>
            </a:graphic>
          </wp:inline>
        </w:drawing>
      </w:r>
    </w:p>
    <w:p w14:paraId="3E7B79CD">
      <w:pPr>
        <w:pStyle w:val="40"/>
        <w:bidi w:val="0"/>
        <w:rPr>
          <w:rFonts w:hint="eastAsia"/>
          <w:lang w:val="en-US" w:eastAsia="zh-CN"/>
        </w:rPr>
      </w:pPr>
      <w:bookmarkStart w:id="50" w:name="_Toc6614"/>
      <w:r>
        <w:rPr>
          <w:rFonts w:hint="eastAsia"/>
          <w:lang w:val="en-US" w:eastAsia="zh-CN"/>
        </w:rPr>
        <w:t>图3:九江理工学生正在技能大赛前实训</w:t>
      </w:r>
      <w:bookmarkEnd w:id="50"/>
    </w:p>
    <w:p w14:paraId="18AEAECC">
      <w:pPr>
        <w:pStyle w:val="16"/>
        <w:rPr>
          <w:rFonts w:hint="default"/>
          <w:lang w:val="en-US" w:eastAsia="zh-CN"/>
        </w:rPr>
      </w:pPr>
    </w:p>
    <w:p w14:paraId="3D392222">
      <w:pPr>
        <w:pStyle w:val="37"/>
        <w:bidi w:val="0"/>
        <w:rPr>
          <w:rFonts w:hint="default"/>
          <w:lang w:val="en-US" w:eastAsia="zh-CN"/>
        </w:rPr>
      </w:pPr>
      <w:bookmarkStart w:id="51" w:name="_Toc28158"/>
      <w:r>
        <w:rPr>
          <w:rFonts w:hint="eastAsia"/>
          <w:lang w:val="en-US" w:eastAsia="zh-CN"/>
        </w:rPr>
        <w:t>案例2：</w:t>
      </w:r>
      <w:r>
        <w:rPr>
          <w:rFonts w:hint="default"/>
          <w:lang w:val="en-US" w:eastAsia="zh-CN"/>
        </w:rPr>
        <w:t>柴桑中职学校开展学生专业技能展示活动</w:t>
      </w:r>
      <w:bookmarkEnd w:id="51"/>
    </w:p>
    <w:p w14:paraId="1586F819">
      <w:pPr>
        <w:pStyle w:val="39"/>
        <w:bidi w:val="0"/>
        <w:rPr>
          <w:rFonts w:hint="default"/>
          <w:lang w:val="en-US" w:eastAsia="zh-CN"/>
        </w:rPr>
      </w:pPr>
      <w:r>
        <w:rPr>
          <w:rFonts w:hint="default"/>
          <w:lang w:val="en-US" w:eastAsia="zh-CN"/>
        </w:rPr>
        <w:t>学校举办了专业展示开放日活动</w:t>
      </w:r>
      <w:r>
        <w:rPr>
          <w:rFonts w:hint="eastAsia"/>
          <w:lang w:val="en-US" w:eastAsia="zh-CN"/>
        </w:rPr>
        <w:t>，</w:t>
      </w:r>
      <w:r>
        <w:rPr>
          <w:rFonts w:hint="default"/>
          <w:lang w:val="en-US" w:eastAsia="zh-CN"/>
        </w:rPr>
        <w:t>各个专业班级开展了舞蹈、简笔画、钢琴、焊接展示，育儿保育实操，电子商务文字输入比赛以及TCL智能制造学生设计制作作品展，全面展示了学生专业成长情况。活动设置幼儿保育、高铁乘务、酒店管理、电子电工、电子商务等五大板块，共10个技能展示项目。参与展示的学生依托各专业的优势和特色，展示了熟练精湛的职业技能，进一步激发了学生对专业深入探索和研究的兴趣，从而更加积极主动地学习提升。</w:t>
      </w:r>
    </w:p>
    <w:p w14:paraId="58A487AA">
      <w:pPr>
        <w:pStyle w:val="39"/>
        <w:bidi w:val="0"/>
        <w:rPr>
          <w:rFonts w:hint="default"/>
          <w:lang w:val="en-US" w:eastAsia="zh-CN"/>
        </w:rPr>
      </w:pPr>
      <w:r>
        <w:rPr>
          <w:rFonts w:hint="default"/>
          <w:lang w:val="en-US" w:eastAsia="zh-CN"/>
        </w:rPr>
        <w:t>专业展示绽风采，竞技交流促发展。此次专业课程展示活动，搭建了学生专业技能展示平台，有利于学校专业学生更加深入地了解职业竞赛的过程，提升了柴桑中职学校各专业课程“以赛促学、以赛促教”的专业教学技能。</w:t>
      </w:r>
    </w:p>
    <w:bookmarkEnd w:id="17"/>
    <w:p w14:paraId="64323284">
      <w:pPr>
        <w:rPr>
          <w:rFonts w:hint="eastAsia"/>
          <w:szCs w:val="24"/>
          <w:lang w:val="en-US" w:eastAsia="zh-CN"/>
        </w:rPr>
      </w:pPr>
      <w:r>
        <w:rPr>
          <w:rFonts w:hint="eastAsia"/>
          <w:szCs w:val="24"/>
          <w:lang w:val="en-US" w:eastAsia="zh-CN"/>
        </w:rPr>
        <w:br w:type="page"/>
      </w:r>
    </w:p>
    <w:p w14:paraId="5C245ED7">
      <w:pPr>
        <w:pStyle w:val="15"/>
        <w:numPr>
          <w:ilvl w:val="0"/>
          <w:numId w:val="0"/>
        </w:numPr>
        <w:bidi w:val="0"/>
        <w:ind w:left="0" w:leftChars="0" w:firstLine="640" w:firstLineChars="200"/>
        <w:rPr>
          <w:rFonts w:hint="eastAsia"/>
          <w:lang w:val="en-US" w:eastAsia="zh-CN"/>
        </w:rPr>
      </w:pPr>
      <w:bookmarkStart w:id="52" w:name="_Toc21089"/>
      <w:bookmarkStart w:id="53" w:name="_Toc3427"/>
      <w:r>
        <w:rPr>
          <w:rFonts w:hint="eastAsia"/>
          <w:lang w:val="en-US" w:eastAsia="zh-CN"/>
        </w:rPr>
        <w:t>3 服务贡献</w:t>
      </w:r>
      <w:bookmarkEnd w:id="52"/>
      <w:bookmarkEnd w:id="53"/>
    </w:p>
    <w:p w14:paraId="7328EF1E">
      <w:pPr>
        <w:pStyle w:val="36"/>
        <w:bidi w:val="0"/>
        <w:rPr>
          <w:rFonts w:hint="eastAsia"/>
          <w:lang w:val="en-US" w:eastAsia="zh-CN"/>
        </w:rPr>
      </w:pPr>
      <w:bookmarkStart w:id="54" w:name="_Toc372"/>
      <w:r>
        <w:rPr>
          <w:rFonts w:hint="eastAsia"/>
          <w:lang w:val="en-US" w:eastAsia="zh-CN"/>
        </w:rPr>
        <w:t>3.1 服务经济</w:t>
      </w:r>
      <w:bookmarkEnd w:id="54"/>
    </w:p>
    <w:p w14:paraId="773CC7AF">
      <w:pPr>
        <w:pStyle w:val="16"/>
        <w:bidi w:val="0"/>
        <w:rPr>
          <w:rFonts w:hint="default"/>
          <w:lang w:val="en-US" w:eastAsia="zh-CN"/>
        </w:rPr>
      </w:pPr>
      <w:r>
        <w:rPr>
          <w:rFonts w:hint="eastAsia"/>
          <w:lang w:val="en-US" w:eastAsia="zh-CN"/>
        </w:rPr>
        <w:t>持续</w:t>
      </w:r>
      <w:r>
        <w:rPr>
          <w:rFonts w:hint="default"/>
          <w:lang w:val="en-US" w:eastAsia="zh-CN"/>
        </w:rPr>
        <w:t>深化职业教育综合改革，坚持以教促产、以产助教，强化政、校、企协同合作，持续构建现代职业教育体系。</w:t>
      </w:r>
      <w:r>
        <w:rPr>
          <w:rFonts w:hint="eastAsia"/>
          <w:lang w:val="en-US" w:eastAsia="zh-CN"/>
        </w:rPr>
        <w:t>充分利用</w:t>
      </w:r>
      <w:r>
        <w:rPr>
          <w:rFonts w:hint="default"/>
          <w:lang w:val="en-US" w:eastAsia="zh-CN"/>
        </w:rPr>
        <w:t>每年1200万元市本级职业教育发展专项资金，夯实职业教育基础能力。着力优化专业设置体系，形成以九江职业大学分析检验技术、应用化工技术专业为核心，彭泽中专、永修中专等中职学校为基础的化工类专业群。围绕“9610”工程，加快现代产业学院建设，建成现代产业学院27个，其中10家被评为市级现代产业学院，推动九江学院有机硅新材料产业学院成为省级重点现代产业学院。构建产教融合创新平台，推动成立九江市化工、先进制造、数字经济以及“三茶”统筹等4个市域产教联合体。近三年，全市职业学校为园区企业输入各类技术技能人才1.5万余人，职业教育服务经济社会发展能力显著增强。</w:t>
      </w:r>
    </w:p>
    <w:p w14:paraId="33DD986D">
      <w:pPr>
        <w:pStyle w:val="16"/>
        <w:bidi w:val="0"/>
        <w:rPr>
          <w:rFonts w:hint="default"/>
          <w:lang w:val="en-US" w:eastAsia="zh-CN"/>
        </w:rPr>
      </w:pPr>
      <w:r>
        <w:rPr>
          <w:rFonts w:hint="eastAsia"/>
          <w:lang w:val="en-US" w:eastAsia="zh-CN"/>
        </w:rPr>
        <w:t>2024年，全市中职学校共开展校企合作项目131个，其中涉及装备制造项目24个，涉及电子信息项目22个，涉及锂电和光伏新能源项目4个，涉及有机硅和纤维新材料项目1个；合作的规模以上企业74家，其中规模以上工业企业22家；全市中职学校共有订单班15个，冠名班20个。</w:t>
      </w:r>
    </w:p>
    <w:p w14:paraId="71EE00FA">
      <w:pPr>
        <w:pStyle w:val="16"/>
        <w:bidi w:val="0"/>
        <w:rPr>
          <w:rFonts w:hint="default"/>
          <w:lang w:val="en-US" w:eastAsia="zh-CN"/>
        </w:rPr>
      </w:pPr>
    </w:p>
    <w:p w14:paraId="00C2DD60">
      <w:pPr>
        <w:pStyle w:val="37"/>
        <w:bidi w:val="0"/>
        <w:rPr>
          <w:rFonts w:hint="default"/>
          <w:lang w:val="en-US" w:eastAsia="zh-CN"/>
        </w:rPr>
      </w:pPr>
      <w:bookmarkStart w:id="55" w:name="_Toc6908"/>
      <w:r>
        <w:rPr>
          <w:rFonts w:hint="default"/>
          <w:lang w:val="en-US" w:eastAsia="zh-CN"/>
        </w:rPr>
        <w:t>案例</w:t>
      </w:r>
      <w:r>
        <w:rPr>
          <w:rFonts w:hint="eastAsia"/>
          <w:lang w:val="en-US" w:eastAsia="zh-CN"/>
        </w:rPr>
        <w:t>3</w:t>
      </w:r>
      <w:r>
        <w:rPr>
          <w:rFonts w:hint="default"/>
          <w:lang w:val="en-US" w:eastAsia="zh-CN"/>
        </w:rPr>
        <w:t>：</w:t>
      </w:r>
      <w:r>
        <w:rPr>
          <w:rFonts w:hint="eastAsia"/>
          <w:lang w:val="en-US" w:eastAsia="zh-CN"/>
        </w:rPr>
        <w:t>修水中专助力</w:t>
      </w:r>
      <w:r>
        <w:rPr>
          <w:rFonts w:hint="default"/>
          <w:lang w:val="en-US" w:eastAsia="zh-CN"/>
        </w:rPr>
        <w:t xml:space="preserve"> “石缝工厂”发展</w:t>
      </w:r>
      <w:bookmarkEnd w:id="55"/>
    </w:p>
    <w:p w14:paraId="4534107F">
      <w:pPr>
        <w:pStyle w:val="39"/>
        <w:bidi w:val="0"/>
        <w:rPr>
          <w:rFonts w:hint="default"/>
          <w:lang w:val="en-US" w:eastAsia="zh-CN"/>
        </w:rPr>
      </w:pPr>
      <w:r>
        <w:rPr>
          <w:rFonts w:hint="default"/>
          <w:lang w:val="en-US" w:eastAsia="zh-CN"/>
        </w:rPr>
        <w:t>一、案例背景</w:t>
      </w:r>
    </w:p>
    <w:p w14:paraId="6FEACECD">
      <w:pPr>
        <w:pStyle w:val="39"/>
        <w:bidi w:val="0"/>
        <w:rPr>
          <w:rFonts w:hint="default"/>
          <w:lang w:val="en-US" w:eastAsia="zh-CN"/>
        </w:rPr>
      </w:pPr>
      <w:r>
        <w:rPr>
          <w:rFonts w:hint="default"/>
          <w:lang w:val="en-US" w:eastAsia="zh-CN"/>
        </w:rPr>
        <w:t>2022年，中泰工业科技集团携手东莞市机械模具产业协会的部分领先企业，共同投资百亿资金在修水县建设模具数字产业园，这对模具产业升级和人才培养提出了新的要求。在此背景下，修水中等专业学校迅速响应，主动寻求与模具数字产业园的合作，共同探索模具专业的发展路径。</w:t>
      </w:r>
    </w:p>
    <w:p w14:paraId="65BCF7BB">
      <w:pPr>
        <w:pStyle w:val="39"/>
        <w:bidi w:val="0"/>
        <w:rPr>
          <w:rFonts w:hint="default"/>
          <w:lang w:val="en-US" w:eastAsia="zh-CN"/>
        </w:rPr>
      </w:pPr>
      <w:r>
        <w:rPr>
          <w:rFonts w:hint="default"/>
          <w:lang w:val="en-US" w:eastAsia="zh-CN"/>
        </w:rPr>
        <w:t>二、主要做法</w:t>
      </w:r>
    </w:p>
    <w:p w14:paraId="16ACF537">
      <w:pPr>
        <w:pStyle w:val="39"/>
        <w:bidi w:val="0"/>
        <w:rPr>
          <w:rFonts w:hint="default"/>
          <w:lang w:val="en-US" w:eastAsia="zh-CN"/>
        </w:rPr>
      </w:pPr>
      <w:r>
        <w:rPr>
          <w:rFonts w:hint="default"/>
          <w:lang w:val="en-US" w:eastAsia="zh-CN"/>
        </w:rPr>
        <w:t>学校领导高度重视，主动联系县模具数字产业园，并组织校企座谈会，深入探讨合作方案。在政府部门支持下，学校迅速组建模具订单班，通过前期宣传、组织学生家长参观企业、召开座谈会等形式，让学生和家长全面了解模具专业发展现状、企业文化和技术要求。2024年1月，中泰模具订单班正式开班，订单班采用“理论学习+实践操作”的教学模式，企业派遣资深技术人员担任兼职教师，为学生提供行业前沿信息和技能指导，确保人才培养与企业需求精准对接。</w:t>
      </w:r>
    </w:p>
    <w:p w14:paraId="3C256A5B">
      <w:pPr>
        <w:pStyle w:val="39"/>
        <w:bidi w:val="0"/>
        <w:rPr>
          <w:rFonts w:hint="default"/>
          <w:lang w:val="en-US" w:eastAsia="zh-CN"/>
        </w:rPr>
      </w:pPr>
      <w:r>
        <w:rPr>
          <w:rFonts w:hint="default"/>
          <w:lang w:val="en-US" w:eastAsia="zh-CN"/>
        </w:rPr>
        <w:t>三、成果成效</w:t>
      </w:r>
    </w:p>
    <w:p w14:paraId="2360E033">
      <w:pPr>
        <w:pStyle w:val="39"/>
        <w:bidi w:val="0"/>
        <w:rPr>
          <w:rFonts w:hint="default"/>
          <w:lang w:val="en-US" w:eastAsia="zh-CN"/>
        </w:rPr>
      </w:pPr>
      <w:r>
        <w:rPr>
          <w:rFonts w:hint="default"/>
          <w:lang w:val="en-US" w:eastAsia="zh-CN"/>
        </w:rPr>
        <w:t>订单式培养作为一种新的校企合作模式，在推动山区“石缝工厂”发展中发挥了显著作用。2024年5月，模具订单班学生赴企业实习，均能满足企业的技术要求，部分学生甚至迅速成长为骨干员工，为企业发展注入了新的活力。这一模式不仅解决了学校与企业需求脱节的问题，还为家长和学生提供了新的教育选择和职业发展路径，为模具产业升级做出了积极贡献。</w:t>
      </w:r>
    </w:p>
    <w:p w14:paraId="14CA6084">
      <w:pPr>
        <w:pStyle w:val="39"/>
        <w:bidi w:val="0"/>
        <w:rPr>
          <w:rFonts w:hint="default"/>
          <w:lang w:val="en-US" w:eastAsia="zh-CN"/>
        </w:rPr>
      </w:pPr>
    </w:p>
    <w:p w14:paraId="00F1E0E4">
      <w:pPr>
        <w:pStyle w:val="39"/>
        <w:bidi w:val="0"/>
        <w:rPr>
          <w:rFonts w:hint="default"/>
          <w:lang w:val="en-US" w:eastAsia="zh-CN"/>
        </w:rPr>
      </w:pPr>
    </w:p>
    <w:p w14:paraId="72F57823">
      <w:pPr>
        <w:pStyle w:val="36"/>
        <w:bidi w:val="0"/>
        <w:rPr>
          <w:rFonts w:hint="default"/>
          <w:lang w:val="en-US" w:eastAsia="zh-CN"/>
        </w:rPr>
      </w:pPr>
      <w:bookmarkStart w:id="56" w:name="_Toc32200"/>
      <w:r>
        <w:rPr>
          <w:rFonts w:hint="eastAsia"/>
          <w:lang w:val="en-US" w:eastAsia="zh-CN"/>
        </w:rPr>
        <w:t>3.2 服务社会</w:t>
      </w:r>
      <w:bookmarkEnd w:id="56"/>
    </w:p>
    <w:p w14:paraId="2A81675C">
      <w:pPr>
        <w:pStyle w:val="16"/>
        <w:rPr>
          <w:rFonts w:hint="default"/>
          <w:lang w:val="en-US" w:eastAsia="zh-CN"/>
        </w:rPr>
      </w:pPr>
      <w:r>
        <w:rPr>
          <w:rFonts w:hint="eastAsia"/>
          <w:lang w:val="en-US" w:eastAsia="zh-CN"/>
        </w:rPr>
        <w:t>各中职学校把办好职业学校与繁荣经济、促进就业、消除贫困、维护稳定紧密结合起来，服务经济发展方式的转变，服务产业结构的转移和升级，满足广大求学者、求技者的需要。各中职学校持续加大社会培训力度，拓宽培训工种并积极开展职业培训，帮助当地掌握就业所需的技能和知识，提高其就业竞争力。2024年各中职学校共开展非学历培训项目数33个，共计2656学时，其中公益项目892学时。非学历培训到账经费总计100.39万元。</w:t>
      </w:r>
    </w:p>
    <w:p w14:paraId="2427823F">
      <w:pPr>
        <w:pStyle w:val="16"/>
        <w:rPr>
          <w:rFonts w:hint="eastAsia"/>
          <w:lang w:val="en-US" w:eastAsia="zh-CN"/>
        </w:rPr>
      </w:pPr>
      <w:r>
        <w:rPr>
          <w:rFonts w:hint="eastAsia"/>
          <w:lang w:val="en-US" w:eastAsia="zh-CN"/>
        </w:rPr>
        <w:t>本年度总计7036人次参加中职学校培训，其中农村劳动者3204人次，产业工人620人次。</w:t>
      </w:r>
    </w:p>
    <w:p w14:paraId="35E5AE69">
      <w:pPr>
        <w:pStyle w:val="37"/>
        <w:bidi w:val="0"/>
        <w:rPr>
          <w:rFonts w:hint="default"/>
          <w:lang w:val="en-US" w:eastAsia="zh-CN"/>
        </w:rPr>
      </w:pPr>
      <w:bookmarkStart w:id="57" w:name="_Toc16397"/>
      <w:r>
        <w:rPr>
          <w:rFonts w:hint="eastAsia"/>
          <w:lang w:val="en-US" w:eastAsia="zh-CN"/>
        </w:rPr>
        <w:t>案例4：瑞昌中专</w:t>
      </w:r>
      <w:r>
        <w:rPr>
          <w:rFonts w:hint="default"/>
          <w:lang w:val="en-US" w:eastAsia="zh-CN"/>
        </w:rPr>
        <w:t>"青鸟义修服务队”进社区活动</w:t>
      </w:r>
      <w:bookmarkEnd w:id="57"/>
    </w:p>
    <w:p w14:paraId="28E55893">
      <w:pPr>
        <w:pStyle w:val="39"/>
        <w:bidi w:val="0"/>
        <w:rPr>
          <w:rFonts w:hint="default"/>
          <w:lang w:val="en-US" w:eastAsia="zh-CN"/>
        </w:rPr>
      </w:pPr>
      <w:r>
        <w:rPr>
          <w:rFonts w:hint="default"/>
          <w:lang w:val="en-US" w:eastAsia="zh-CN"/>
        </w:rPr>
        <w:t>瑞昌中专第二专业部教师带领学生“青鸟义修服务队”深入惠民社区、杨林湖社区开展“义务维修进社区”志愿服务活动。活动中，社区居民们纷纷将有故障的电风扇、取暖器、烧水壶、电饭煲等小家电送至维修点。维修小分队成员纷纷亮出自己的看家本领，使一件件故障家电恢复了往日“生机”。此次活动，不仅让学生走出校园，让知识技能得到实践，还为社区居民提供了便利，向社会传递“奉献、友爱、互助、进步”的志愿精神。</w:t>
      </w:r>
    </w:p>
    <w:p w14:paraId="307D8DF6">
      <w:pPr>
        <w:pStyle w:val="39"/>
        <w:bidi w:val="0"/>
        <w:spacing w:afterLines="0" w:afterAutospacing="0"/>
        <w:rPr>
          <w:rFonts w:hint="default"/>
          <w:lang w:val="en-US" w:eastAsia="zh-CN"/>
        </w:rPr>
      </w:pPr>
    </w:p>
    <w:p w14:paraId="4A0179BC">
      <w:pPr>
        <w:pStyle w:val="39"/>
        <w:bidi w:val="0"/>
        <w:spacing w:before="5394" w:beforeLines="1728" w:beforeAutospacing="0" w:afterLines="0" w:afterAutospacing="0"/>
        <w:ind w:left="0" w:leftChars="0" w:firstLine="0" w:firstLineChars="0"/>
        <w:jc w:val="center"/>
        <w:rPr>
          <w:rFonts w:hint="default"/>
          <w:lang w:val="en-US" w:eastAsia="zh-CN"/>
        </w:rPr>
      </w:pPr>
      <w:r>
        <w:rPr>
          <w:rFonts w:hint="eastAsia" w:ascii="宋体" w:hAnsi="宋体" w:eastAsia="宋体" w:cs="宋体"/>
          <w:b w:val="0"/>
          <w:bCs/>
          <w:snapToGrid/>
          <w:color w:val="auto"/>
          <w:kern w:val="2"/>
          <w:sz w:val="28"/>
          <w:szCs w:val="28"/>
          <w:lang w:eastAsia="zh-CN"/>
        </w:rPr>
        <w:drawing>
          <wp:inline distT="0" distB="0" distL="114300" distR="114300">
            <wp:extent cx="5219700" cy="3522345"/>
            <wp:effectExtent l="0" t="0" r="0" b="1905"/>
            <wp:docPr id="10" name="图片 7" descr="C:\Users\ADMINI~1\AppData\Local\Temp\360zip$Pic\360$3\微信图片_2023031012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C:\Users\ADMINI~1\AppData\Local\Temp\360zip$Pic\360$3\微信图片_20230310121838.jpg"/>
                    <pic:cNvPicPr>
                      <a:picLocks noChangeAspect="1"/>
                    </pic:cNvPicPr>
                  </pic:nvPicPr>
                  <pic:blipFill>
                    <a:blip r:embed="rId15"/>
                    <a:stretch>
                      <a:fillRect/>
                    </a:stretch>
                  </pic:blipFill>
                  <pic:spPr>
                    <a:xfrm>
                      <a:off x="0" y="0"/>
                      <a:ext cx="5219700" cy="3522345"/>
                    </a:xfrm>
                    <a:prstGeom prst="rect">
                      <a:avLst/>
                    </a:prstGeom>
                    <a:noFill/>
                    <a:ln>
                      <a:noFill/>
                    </a:ln>
                  </pic:spPr>
                </pic:pic>
              </a:graphicData>
            </a:graphic>
          </wp:inline>
        </w:drawing>
      </w:r>
    </w:p>
    <w:p w14:paraId="5B9BD312">
      <w:pPr>
        <w:pStyle w:val="39"/>
        <w:bidi w:val="0"/>
        <w:spacing w:beforeAutospacing="0"/>
        <w:ind w:left="0" w:leftChars="0" w:firstLine="0" w:firstLineChars="0"/>
        <w:jc w:val="center"/>
        <w:rPr>
          <w:rFonts w:hint="default"/>
          <w:lang w:val="en-US" w:eastAsia="zh-CN"/>
        </w:rPr>
      </w:pPr>
      <w:r>
        <w:rPr>
          <w:rFonts w:hint="eastAsia"/>
          <w:lang w:val="en-US" w:eastAsia="zh-CN"/>
        </w:rPr>
        <w:t>图n：永修中专</w:t>
      </w:r>
      <w:r>
        <w:rPr>
          <w:rFonts w:hint="default"/>
          <w:lang w:val="en-US" w:eastAsia="zh-CN"/>
        </w:rPr>
        <w:t>学生进入社区开展志愿者活动</w:t>
      </w:r>
    </w:p>
    <w:p w14:paraId="41FE7B3F">
      <w:pPr>
        <w:pStyle w:val="39"/>
        <w:bidi w:val="0"/>
        <w:rPr>
          <w:rFonts w:hint="default"/>
          <w:lang w:val="en-US" w:eastAsia="zh-CN"/>
        </w:rPr>
      </w:pPr>
    </w:p>
    <w:p w14:paraId="31D85D93">
      <w:pPr>
        <w:pStyle w:val="37"/>
        <w:bidi w:val="0"/>
        <w:rPr>
          <w:rFonts w:hint="default" w:cs="Times New Roman"/>
          <w:lang w:val="en-US" w:eastAsia="zh-CN"/>
        </w:rPr>
      </w:pPr>
      <w:bookmarkStart w:id="58" w:name="_Toc13165"/>
      <w:r>
        <w:rPr>
          <w:rFonts w:hint="eastAsia" w:cs="Times New Roman"/>
          <w:lang w:val="en-US" w:eastAsia="zh-CN"/>
        </w:rPr>
        <w:t>案例5：</w:t>
      </w:r>
      <w:r>
        <w:rPr>
          <w:rFonts w:hint="default" w:cs="Times New Roman"/>
          <w:lang w:val="en-US" w:eastAsia="zh-CN"/>
        </w:rPr>
        <w:t>彭泽中专组织党员干部积极参与抗洪防汛工作</w:t>
      </w:r>
      <w:bookmarkEnd w:id="58"/>
    </w:p>
    <w:p w14:paraId="5A72DDD5">
      <w:pPr>
        <w:pStyle w:val="39"/>
        <w:bidi w:val="0"/>
        <w:rPr>
          <w:rFonts w:hint="default"/>
          <w:lang w:val="en-US" w:eastAsia="zh-CN"/>
        </w:rPr>
      </w:pPr>
      <w:r>
        <w:rPr>
          <w:rFonts w:hint="default"/>
          <w:lang w:val="en-US" w:eastAsia="zh-CN"/>
        </w:rPr>
        <w:t>2024年7月2日，期末考试刚结束，随着雨季汛期的到来，防汛工作成为当务之急。关键时刻，彭泽中专的老师们积极响应号召，迅速投身到东湖堤马当荆桥村段的防汛工作中，用实际行动诠释了人民教师的责任与担当。</w:t>
      </w:r>
    </w:p>
    <w:p w14:paraId="7AD5C788">
      <w:pPr>
        <w:pStyle w:val="39"/>
        <w:bidi w:val="0"/>
        <w:rPr>
          <w:rFonts w:hint="default"/>
          <w:lang w:val="en-US" w:eastAsia="zh-CN"/>
        </w:rPr>
      </w:pPr>
      <w:r>
        <w:rPr>
          <w:rFonts w:hint="default"/>
          <w:lang w:val="en-US" w:eastAsia="zh-CN"/>
        </w:rPr>
        <w:t>党总支书记欧阳微在防汛值班室强调要认真贯彻落实习近平总书记对防汛救灾工作的重要指示精神，强化风险意识，坚持防患未然。</w:t>
      </w:r>
    </w:p>
    <w:p w14:paraId="4A27B9AA">
      <w:pPr>
        <w:pStyle w:val="39"/>
        <w:bidi w:val="0"/>
        <w:rPr>
          <w:rFonts w:hint="default"/>
          <w:lang w:val="en-US" w:eastAsia="zh-CN"/>
        </w:rPr>
      </w:pPr>
      <w:r>
        <w:rPr>
          <w:rFonts w:hint="default"/>
          <w:lang w:val="en-US" w:eastAsia="zh-CN"/>
        </w:rPr>
        <w:t>在责任区段内，老师们不辞辛劳地巡查堤岸，仔细检查每一处可能存在的安全隐患。他们冒着细雨，踩着泥泞，认真查看堤岸的稳固情况，及时发现并处理泡泉等险情。</w:t>
      </w:r>
    </w:p>
    <w:p w14:paraId="5401B225">
      <w:pPr>
        <w:pStyle w:val="39"/>
        <w:bidi w:val="0"/>
        <w:rPr>
          <w:rFonts w:hint="default"/>
          <w:lang w:val="en-US" w:eastAsia="zh-CN"/>
        </w:rPr>
      </w:pPr>
      <w:r>
        <w:rPr>
          <w:rFonts w:hint="default"/>
          <w:lang w:val="en-US" w:eastAsia="zh-CN"/>
        </w:rPr>
        <w:t>为了确保堤岸的安全，老师们采取了24小时轮班巡查制度。无论是烈日炎炎的白天还是寂静无声的黑夜，他们始终坚守在岗位上，每小时巡查一次，确保不留死角。面对突如其来的降雨和短暂雨后的烈日，他们始终保持着高昂的斗志和严谨的态度，用实际行动践行着人民教师的使命和担当。</w:t>
      </w:r>
    </w:p>
    <w:p w14:paraId="25B6B9EF">
      <w:pPr>
        <w:pStyle w:val="39"/>
        <w:bidi w:val="0"/>
        <w:rPr>
          <w:rFonts w:hint="default"/>
          <w:lang w:val="en-US" w:eastAsia="zh-CN"/>
        </w:rPr>
      </w:pPr>
    </w:p>
    <w:p w14:paraId="79B89178">
      <w:pPr>
        <w:rPr>
          <w:rFonts w:hint="eastAsia"/>
          <w:lang w:val="en-US" w:eastAsia="zh-CN"/>
        </w:rPr>
      </w:pPr>
      <w:bookmarkStart w:id="59" w:name="_Toc1901"/>
      <w:r>
        <w:rPr>
          <w:rFonts w:hint="eastAsia"/>
          <w:lang w:val="en-US" w:eastAsia="zh-CN"/>
        </w:rPr>
        <w:br w:type="page"/>
      </w:r>
    </w:p>
    <w:p w14:paraId="68960FF5">
      <w:pPr>
        <w:pStyle w:val="15"/>
        <w:numPr>
          <w:ilvl w:val="0"/>
          <w:numId w:val="0"/>
        </w:numPr>
        <w:bidi w:val="0"/>
        <w:ind w:left="0" w:leftChars="0" w:firstLine="640" w:firstLineChars="200"/>
        <w:rPr>
          <w:rFonts w:hint="eastAsia"/>
          <w:lang w:val="en-US" w:eastAsia="zh-CN"/>
        </w:rPr>
      </w:pPr>
      <w:bookmarkStart w:id="60" w:name="_Toc10661"/>
      <w:r>
        <w:rPr>
          <w:rFonts w:hint="eastAsia"/>
          <w:lang w:val="en-US" w:eastAsia="zh-CN"/>
        </w:rPr>
        <w:t>4 文化传承</w:t>
      </w:r>
      <w:bookmarkEnd w:id="59"/>
      <w:bookmarkEnd w:id="60"/>
    </w:p>
    <w:p w14:paraId="47FBA0D0">
      <w:pPr>
        <w:pStyle w:val="36"/>
        <w:bidi w:val="0"/>
        <w:rPr>
          <w:rFonts w:hint="default"/>
          <w:lang w:val="en-US" w:eastAsia="zh-CN"/>
        </w:rPr>
      </w:pPr>
      <w:bookmarkStart w:id="61" w:name="_Toc1075"/>
      <w:r>
        <w:rPr>
          <w:rFonts w:hint="eastAsia"/>
          <w:lang w:val="en-US" w:eastAsia="zh-CN"/>
        </w:rPr>
        <w:t>4.1 工匠精神</w:t>
      </w:r>
      <w:bookmarkEnd w:id="61"/>
    </w:p>
    <w:p w14:paraId="1D900F1B">
      <w:pPr>
        <w:pStyle w:val="16"/>
        <w:rPr>
          <w:rFonts w:hint="eastAsia"/>
          <w:lang w:val="en-US" w:eastAsia="zh-CN"/>
        </w:rPr>
      </w:pPr>
      <w:r>
        <w:rPr>
          <w:rFonts w:hint="eastAsia"/>
          <w:lang w:val="en-US" w:eastAsia="zh-CN"/>
        </w:rPr>
        <w:t>各中职学校大力弘扬工匠精神，注重学生的职业道德、职业能力、职业品质的培养，专门设置与工匠文化相关的课程，优化专业课程。强化教师工匠精神的培育与示范。通过组织技能竞赛、主题班会等形式，开展学习工匠精神、弘扬劳模精神主题活动等，各种与工匠精神相关的活动在校园环境中营造浓厚的工匠精神氛围，促进同学们专注自身专业技术技能，严格要求自己，培养追求卓越的创造精神、精益求精的品质精神</w:t>
      </w:r>
    </w:p>
    <w:p w14:paraId="2C7BC6B0">
      <w:pPr>
        <w:pStyle w:val="16"/>
        <w:ind w:left="0" w:leftChars="0" w:firstLine="0" w:firstLineChars="0"/>
        <w:jc w:val="center"/>
        <w:rPr>
          <w:rFonts w:hint="eastAsia" w:ascii="宋体" w:hAnsi="宋体" w:eastAsia="宋体" w:cs="宋体"/>
          <w:sz w:val="30"/>
          <w:szCs w:val="30"/>
          <w:lang w:eastAsia="zh-CN"/>
        </w:rPr>
      </w:pPr>
      <w:r>
        <w:rPr>
          <w:rFonts w:ascii="宋体" w:hAnsi="宋体" w:eastAsia="宋体" w:cs="宋体"/>
          <w:sz w:val="24"/>
          <w:szCs w:val="24"/>
        </w:rPr>
        <w:drawing>
          <wp:inline distT="0" distB="0" distL="114300" distR="114300">
            <wp:extent cx="5219700" cy="2586990"/>
            <wp:effectExtent l="0" t="0" r="0" b="3810"/>
            <wp:docPr id="28"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IMG_256"/>
                    <pic:cNvPicPr>
                      <a:picLocks noChangeAspect="1"/>
                    </pic:cNvPicPr>
                  </pic:nvPicPr>
                  <pic:blipFill>
                    <a:blip r:embed="rId16"/>
                    <a:stretch>
                      <a:fillRect/>
                    </a:stretch>
                  </pic:blipFill>
                  <pic:spPr>
                    <a:xfrm>
                      <a:off x="0" y="0"/>
                      <a:ext cx="5219700" cy="2586990"/>
                    </a:xfrm>
                    <a:prstGeom prst="rect">
                      <a:avLst/>
                    </a:prstGeom>
                    <a:noFill/>
                    <a:ln w="9525">
                      <a:noFill/>
                    </a:ln>
                  </pic:spPr>
                </pic:pic>
              </a:graphicData>
            </a:graphic>
          </wp:inline>
        </w:drawing>
      </w:r>
    </w:p>
    <w:p w14:paraId="29B67336">
      <w:pPr>
        <w:pStyle w:val="40"/>
        <w:bidi w:val="0"/>
        <w:rPr>
          <w:rFonts w:hint="eastAsia"/>
          <w:lang w:val="en-US" w:eastAsia="zh-CN"/>
        </w:rPr>
      </w:pPr>
      <w:bookmarkStart w:id="62" w:name="_Toc24215"/>
      <w:r>
        <w:rPr>
          <w:rFonts w:hint="eastAsia"/>
          <w:lang w:val="en-US" w:eastAsia="zh-CN"/>
        </w:rPr>
        <w:t>图4：共青中医药庆祝国际护士节暨授帽仪式</w:t>
      </w:r>
      <w:bookmarkEnd w:id="62"/>
    </w:p>
    <w:p w14:paraId="32A29380">
      <w:pPr>
        <w:pStyle w:val="37"/>
        <w:bidi w:val="0"/>
        <w:rPr>
          <w:rFonts w:hint="default"/>
          <w:lang w:val="en-US" w:eastAsia="zh-CN"/>
        </w:rPr>
      </w:pPr>
      <w:bookmarkStart w:id="63" w:name="_Toc15750"/>
      <w:r>
        <w:rPr>
          <w:rFonts w:hint="eastAsia"/>
          <w:lang w:val="en-US" w:eastAsia="zh-CN"/>
        </w:rPr>
        <w:t>案例6：修水中专迎战“CNC学徒训战营”</w:t>
      </w:r>
      <w:bookmarkEnd w:id="63"/>
    </w:p>
    <w:p w14:paraId="644D3833">
      <w:pPr>
        <w:pStyle w:val="39"/>
        <w:bidi w:val="0"/>
        <w:rPr>
          <w:rFonts w:hint="default"/>
          <w:lang w:val="en-US" w:eastAsia="zh-CN"/>
        </w:rPr>
      </w:pPr>
      <w:r>
        <w:rPr>
          <w:rFonts w:hint="default"/>
          <w:lang w:val="en-US" w:eastAsia="zh-CN"/>
        </w:rPr>
        <w:t>一、案例背景</w:t>
      </w:r>
    </w:p>
    <w:p w14:paraId="453A845F">
      <w:pPr>
        <w:pStyle w:val="39"/>
        <w:bidi w:val="0"/>
        <w:rPr>
          <w:rFonts w:hint="default"/>
          <w:lang w:val="en-US" w:eastAsia="zh-CN"/>
        </w:rPr>
      </w:pPr>
      <w:r>
        <w:rPr>
          <w:rFonts w:hint="default"/>
          <w:lang w:val="en-US" w:eastAsia="zh-CN"/>
        </w:rPr>
        <w:t>随着制造业的快速发展，CNC（计算机数控）技术已成为行业不可或缺的核心技能，但CNC人才仍十分紧缺，因此模界荣耀联合学校启动“CNC学徒训战营”项目，旨在通过系统化的培训，快速提升学生CNC操作技能与职业素养。</w:t>
      </w:r>
    </w:p>
    <w:p w14:paraId="6F5D457E">
      <w:pPr>
        <w:pStyle w:val="39"/>
        <w:bidi w:val="0"/>
        <w:rPr>
          <w:rFonts w:hint="default"/>
          <w:lang w:val="en-US" w:eastAsia="zh-CN"/>
        </w:rPr>
      </w:pPr>
      <w:r>
        <w:rPr>
          <w:rFonts w:hint="default"/>
          <w:lang w:val="en-US" w:eastAsia="zh-CN"/>
        </w:rPr>
        <w:t>二、主要做法</w:t>
      </w:r>
    </w:p>
    <w:p w14:paraId="030B3E81">
      <w:pPr>
        <w:pStyle w:val="39"/>
        <w:bidi w:val="0"/>
        <w:rPr>
          <w:rFonts w:hint="default"/>
          <w:lang w:val="en-US" w:eastAsia="zh-CN"/>
        </w:rPr>
      </w:pPr>
      <w:r>
        <w:rPr>
          <w:rFonts w:hint="default"/>
          <w:lang w:val="en-US" w:eastAsia="zh-CN"/>
        </w:rPr>
        <w:t>在“CNC学徒训战营”项目中，模界荣耀制造事务部依据CNC岗位需求，精心设计了“CNC学徒十天强化培训课程表”，内容覆盖安全培训、刀具知识、机械制图、机床操作及多种实操练习与考核，引入行业最新技术与标准，确保培训内容的前沿性与实用性。在教学模式上，培训采用了“工学交替、理实一体”的教学方法，将理论知识学习与实际工作操作紧密结合，并以实际案例为载体，设计系列学习任务，让学员在解决具体问题的过程中锤炼技能，提升实际操作能力。</w:t>
      </w:r>
    </w:p>
    <w:p w14:paraId="2D941C99">
      <w:pPr>
        <w:pStyle w:val="39"/>
        <w:bidi w:val="0"/>
        <w:rPr>
          <w:rFonts w:hint="default"/>
          <w:lang w:val="en-US" w:eastAsia="zh-CN"/>
        </w:rPr>
      </w:pPr>
      <w:r>
        <w:rPr>
          <w:rFonts w:hint="default"/>
          <w:lang w:val="en-US" w:eastAsia="zh-CN"/>
        </w:rPr>
        <w:t>三、成果成效</w:t>
      </w:r>
    </w:p>
    <w:p w14:paraId="64129C75">
      <w:pPr>
        <w:pStyle w:val="39"/>
        <w:bidi w:val="0"/>
        <w:rPr>
          <w:rFonts w:hint="default"/>
          <w:lang w:val="en-US" w:eastAsia="zh-CN"/>
        </w:rPr>
      </w:pPr>
      <w:r>
        <w:rPr>
          <w:rFonts w:hint="default"/>
          <w:lang w:val="en-US" w:eastAsia="zh-CN"/>
        </w:rPr>
        <w:t>经过二十多天的紧张培训，“CNC学徒训战营”项目取得了显著成效，同学们在模具产业园共享制造中心培训基地顺利完成全部课程，邱毅、温志宏等同学凭借出色的表现被评为“优秀学员”。通过此次培训，同学们不仅掌握扎实的CNC操作技能，还提升了自身职业素养，为日后职业生涯打下了基础。</w:t>
      </w:r>
    </w:p>
    <w:p w14:paraId="5294E1A3">
      <w:pPr>
        <w:pStyle w:val="16"/>
        <w:rPr>
          <w:rFonts w:hint="eastAsia"/>
          <w:lang w:val="en-US" w:eastAsia="zh-CN"/>
        </w:rPr>
      </w:pPr>
    </w:p>
    <w:p w14:paraId="16E7B81B">
      <w:pPr>
        <w:pStyle w:val="36"/>
        <w:bidi w:val="0"/>
        <w:rPr>
          <w:rFonts w:hint="eastAsia"/>
          <w:lang w:val="en-US" w:eastAsia="zh-CN"/>
        </w:rPr>
      </w:pPr>
      <w:bookmarkStart w:id="64" w:name="_Toc22533"/>
      <w:r>
        <w:rPr>
          <w:rFonts w:hint="eastAsia"/>
          <w:lang w:val="en-US" w:eastAsia="zh-CN"/>
        </w:rPr>
        <w:t>4.2 红色文化</w:t>
      </w:r>
      <w:bookmarkEnd w:id="64"/>
    </w:p>
    <w:p w14:paraId="278A363A">
      <w:pPr>
        <w:pStyle w:val="16"/>
        <w:rPr>
          <w:rFonts w:hint="default"/>
          <w:lang w:val="en-US" w:eastAsia="zh-CN"/>
        </w:rPr>
      </w:pPr>
      <w:r>
        <w:rPr>
          <w:rFonts w:hint="default"/>
          <w:lang w:val="en-US" w:eastAsia="zh-CN"/>
        </w:rPr>
        <w:t>贯彻落实《新时代爱国主义教育实施纲要》，将爱国主义精神纳入教育教学实践环节，推动爱国主义教育进课堂、校领导讲党课，思政大课堂等活动，将爱国主义精神传承做到入脑入心</w:t>
      </w:r>
      <w:r>
        <w:rPr>
          <w:rFonts w:hint="eastAsia"/>
          <w:lang w:val="en-US" w:eastAsia="zh-CN"/>
        </w:rPr>
        <w:t>。</w:t>
      </w:r>
      <w:r>
        <w:rPr>
          <w:rFonts w:hint="default"/>
          <w:lang w:val="en-US" w:eastAsia="zh-CN"/>
        </w:rPr>
        <w:t>为认真贯彻落实《新时代爱国主义教育实施纲要》《新时代公民道德建设实施纲要》，结合党史学习教育有关要求，深化“扣好人生第一粒扣子”主题教育实践活动，充分运用“九一八事变”纪念日，进⼀步推进和践行社会主义核心价值观教育活动的深入开展。</w:t>
      </w:r>
    </w:p>
    <w:p w14:paraId="0B9743CB">
      <w:pPr>
        <w:pStyle w:val="16"/>
        <w:rPr>
          <w:rFonts w:hint="default"/>
          <w:lang w:val="en-US" w:eastAsia="zh-CN"/>
        </w:rPr>
      </w:pPr>
      <w:r>
        <w:rPr>
          <w:rFonts w:hint="default"/>
          <w:lang w:val="en-US" w:eastAsia="zh-CN"/>
        </w:rPr>
        <w:t>结合重大纪念日、节日活动，培养学生爱国、爱党、爱集体、爱家乡的情感。通过开展形式多样的校园活动让学生铭记革命历史，了解革命先烈们为了中国的解放和革命的成功而努力战斗的艰辛历程。学习革命先烈不畏艰难、艰苦朴素的作风。激发学生热爱学习，热爱祖国，为祖国做贡献的远大理想。</w:t>
      </w:r>
    </w:p>
    <w:p w14:paraId="5AA4030F">
      <w:pPr>
        <w:pStyle w:val="16"/>
        <w:ind w:left="0" w:leftChars="0" w:firstLine="0" w:firstLineChars="0"/>
        <w:jc w:val="center"/>
        <w:rPr>
          <w:rFonts w:hint="eastAsia"/>
          <w:lang w:val="en-US" w:eastAsia="zh-CN"/>
        </w:rPr>
      </w:pPr>
      <w:r>
        <w:rPr>
          <w:rFonts w:hint="eastAsia"/>
          <w:lang w:val="en-US" w:eastAsia="zh-CN"/>
        </w:rPr>
        <w:drawing>
          <wp:inline distT="0" distB="0" distL="114300" distR="114300">
            <wp:extent cx="5039995" cy="3782695"/>
            <wp:effectExtent l="0" t="0" r="8255" b="8255"/>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
                    <pic:cNvPicPr>
                      <a:picLocks noChangeAspect="1"/>
                    </pic:cNvPicPr>
                  </pic:nvPicPr>
                  <pic:blipFill>
                    <a:blip r:embed="rId17"/>
                    <a:stretch>
                      <a:fillRect/>
                    </a:stretch>
                  </pic:blipFill>
                  <pic:spPr>
                    <a:xfrm>
                      <a:off x="0" y="0"/>
                      <a:ext cx="5039995" cy="3782695"/>
                    </a:xfrm>
                    <a:prstGeom prst="rect">
                      <a:avLst/>
                    </a:prstGeom>
                  </pic:spPr>
                </pic:pic>
              </a:graphicData>
            </a:graphic>
          </wp:inline>
        </w:drawing>
      </w:r>
    </w:p>
    <w:p w14:paraId="0291E14E">
      <w:pPr>
        <w:pStyle w:val="40"/>
        <w:bidi w:val="0"/>
        <w:rPr>
          <w:rFonts w:hint="eastAsia"/>
          <w:lang w:val="en-US" w:eastAsia="zh-CN"/>
        </w:rPr>
      </w:pPr>
      <w:bookmarkStart w:id="65" w:name="_Toc19531"/>
      <w:r>
        <w:rPr>
          <w:rFonts w:hint="eastAsia"/>
          <w:lang w:val="en-US" w:eastAsia="zh-CN"/>
        </w:rPr>
        <w:t>图5：彭泽中专国旗护卫队</w:t>
      </w:r>
      <w:bookmarkEnd w:id="65"/>
    </w:p>
    <w:p w14:paraId="1BD05057">
      <w:pPr>
        <w:pStyle w:val="16"/>
        <w:bidi w:val="0"/>
        <w:rPr>
          <w:rFonts w:hint="default"/>
          <w:lang w:val="en-US" w:eastAsia="zh-CN"/>
        </w:rPr>
      </w:pPr>
    </w:p>
    <w:p w14:paraId="1A80CB8F">
      <w:pPr>
        <w:pStyle w:val="37"/>
        <w:bidi w:val="0"/>
        <w:rPr>
          <w:rFonts w:hint="default"/>
          <w:lang w:val="en-US" w:eastAsia="zh-CN"/>
        </w:rPr>
      </w:pPr>
      <w:bookmarkStart w:id="66" w:name="_Toc3776"/>
      <w:r>
        <w:rPr>
          <w:rFonts w:hint="default"/>
          <w:lang w:val="en-US" w:eastAsia="zh-CN"/>
        </w:rPr>
        <w:t>案例</w:t>
      </w:r>
      <w:r>
        <w:rPr>
          <w:rFonts w:hint="eastAsia"/>
          <w:lang w:val="en-US" w:eastAsia="zh-CN"/>
        </w:rPr>
        <w:t>7</w:t>
      </w:r>
      <w:r>
        <w:rPr>
          <w:rFonts w:hint="default"/>
          <w:lang w:val="en-US" w:eastAsia="zh-CN"/>
        </w:rPr>
        <w:t>：</w:t>
      </w:r>
      <w:r>
        <w:rPr>
          <w:rFonts w:hint="eastAsia"/>
          <w:lang w:val="en-US" w:eastAsia="zh-CN"/>
        </w:rPr>
        <w:t>德安中专开展清明祭扫主题活动</w:t>
      </w:r>
      <w:bookmarkEnd w:id="66"/>
    </w:p>
    <w:p w14:paraId="11F62037">
      <w:pPr>
        <w:pStyle w:val="39"/>
        <w:bidi w:val="0"/>
        <w:rPr>
          <w:rFonts w:hint="default"/>
          <w:lang w:val="en-US" w:eastAsia="zh-CN"/>
        </w:rPr>
      </w:pPr>
      <w:r>
        <w:rPr>
          <w:rFonts w:hint="default"/>
          <w:lang w:val="en-US" w:eastAsia="zh-CN"/>
        </w:rPr>
        <w:t>又是一年草绿时，又值清明寄哀思。革命先烈用自己的生命和热血谱写了可歌可泣的壮丽诗篇。为追寻先烈足迹、传承红色基因、弘扬爱国主义精神，3月29日上午，德安县中等职业技术学校全体党员以及200余名师生在义峰山革命烈士纪念碑前开展了“缅怀先烈 不忘初心”主题党团日活动。</w:t>
      </w:r>
    </w:p>
    <w:p w14:paraId="378F2DE4">
      <w:pPr>
        <w:pStyle w:val="39"/>
        <w:bidi w:val="0"/>
        <w:rPr>
          <w:rFonts w:hint="default"/>
          <w:lang w:val="en-US" w:eastAsia="zh-CN"/>
        </w:rPr>
      </w:pPr>
      <w:r>
        <w:rPr>
          <w:rFonts w:hint="default"/>
          <w:lang w:val="en-US" w:eastAsia="zh-CN"/>
        </w:rPr>
        <w:t>一系列教育活动的开展，激发了同学们对革命先烈的崇敬之情和对祖国的热爱之情。同学们纷纷表示，要学习先烈们不屈不挠、坚韧担当、艰苦奋斗的革命精神；党员教师们表示，要在今后的工作中、生活中珍惜时间，全面提高自我素养，为民族振兴、国家富强而努力奋斗。</w:t>
      </w:r>
    </w:p>
    <w:p w14:paraId="4551550C">
      <w:pPr>
        <w:pStyle w:val="16"/>
        <w:ind w:left="0" w:leftChars="0" w:firstLine="0" w:firstLineChars="0"/>
        <w:rPr>
          <w:rFonts w:hint="default"/>
          <w:lang w:val="en-US" w:eastAsia="zh-CN"/>
        </w:rPr>
      </w:pPr>
    </w:p>
    <w:p w14:paraId="123BAE6A">
      <w:pPr>
        <w:pStyle w:val="36"/>
        <w:bidi w:val="0"/>
        <w:rPr>
          <w:rFonts w:hint="default"/>
          <w:lang w:val="en-US" w:eastAsia="zh-CN"/>
        </w:rPr>
      </w:pPr>
      <w:bookmarkStart w:id="67" w:name="_Toc30798"/>
      <w:r>
        <w:rPr>
          <w:rFonts w:hint="eastAsia"/>
          <w:lang w:val="en-US" w:eastAsia="zh-CN"/>
        </w:rPr>
        <w:t>4.3 社团建设</w:t>
      </w:r>
      <w:bookmarkEnd w:id="67"/>
    </w:p>
    <w:p w14:paraId="773A6AAC">
      <w:pPr>
        <w:pStyle w:val="16"/>
        <w:rPr>
          <w:rFonts w:hint="default"/>
          <w:lang w:val="en-US" w:eastAsia="zh-CN"/>
        </w:rPr>
      </w:pPr>
      <w:r>
        <w:rPr>
          <w:rFonts w:hint="default"/>
          <w:lang w:val="en-US" w:eastAsia="zh-CN"/>
        </w:rPr>
        <w:t>社团是培养学生服务意识的摇篮，是学生自主发展的舞台，是学生自我教育的阵地，是培养专业技能人才的广阔平台。一直以来，</w:t>
      </w:r>
      <w:r>
        <w:rPr>
          <w:rFonts w:hint="eastAsia"/>
          <w:lang w:val="en-US" w:eastAsia="zh-CN"/>
        </w:rPr>
        <w:t>各中职学校</w:t>
      </w:r>
      <w:r>
        <w:rPr>
          <w:rFonts w:hint="default"/>
          <w:lang w:val="en-US" w:eastAsia="zh-CN"/>
        </w:rPr>
        <w:t>秉承“一切为了学生的可持续发展”的理念，充分挖掘学生的内在潜力，突出</w:t>
      </w:r>
      <w:r>
        <w:rPr>
          <w:rFonts w:hint="eastAsia"/>
          <w:lang w:val="en-US" w:eastAsia="zh-CN"/>
        </w:rPr>
        <w:t>各校</w:t>
      </w:r>
      <w:r>
        <w:rPr>
          <w:rFonts w:hint="default"/>
          <w:lang w:val="en-US" w:eastAsia="zh-CN"/>
        </w:rPr>
        <w:t>办学的特色，以社团活动促进学生自主学习与综合素质的提高。</w:t>
      </w:r>
      <w:r>
        <w:rPr>
          <w:rFonts w:hint="eastAsia"/>
          <w:lang w:val="en-US" w:eastAsia="zh-CN"/>
        </w:rPr>
        <w:t>各校均建设了</w:t>
      </w:r>
      <w:r>
        <w:rPr>
          <w:rFonts w:hint="default"/>
          <w:lang w:val="en-US" w:eastAsia="zh-CN"/>
        </w:rPr>
        <w:t>涵盖了文化、艺术、体育、心理等多个领域</w:t>
      </w:r>
      <w:r>
        <w:rPr>
          <w:rFonts w:hint="eastAsia"/>
          <w:lang w:val="en-US" w:eastAsia="zh-CN"/>
        </w:rPr>
        <w:t>的学生社团。各中职学校</w:t>
      </w:r>
      <w:r>
        <w:rPr>
          <w:rFonts w:hint="default"/>
          <w:lang w:val="en-US" w:eastAsia="zh-CN"/>
        </w:rPr>
        <w:t>积极选聘指导教师，充实建设内涵，加紧学校社团文化的建设步伐，致力为学生提供广阔的锻炼和展示平台。</w:t>
      </w:r>
    </w:p>
    <w:p w14:paraId="6E5FF2FB">
      <w:pPr>
        <w:pStyle w:val="16"/>
        <w:rPr>
          <w:rFonts w:hint="default"/>
          <w:lang w:val="en-US" w:eastAsia="zh-CN"/>
        </w:rPr>
      </w:pPr>
    </w:p>
    <w:p w14:paraId="61B67012">
      <w:pPr>
        <w:pStyle w:val="16"/>
        <w:rPr>
          <w:rFonts w:hint="default"/>
          <w:lang w:val="en-US" w:eastAsia="zh-CN"/>
        </w:rPr>
      </w:pPr>
    </w:p>
    <w:p w14:paraId="000CD299">
      <w:pPr>
        <w:pStyle w:val="16"/>
        <w:rPr>
          <w:rFonts w:hint="default"/>
          <w:lang w:val="en-US" w:eastAsia="zh-CN"/>
        </w:rPr>
      </w:pPr>
    </w:p>
    <w:p w14:paraId="6DF266DE">
      <w:pPr>
        <w:rPr>
          <w:rFonts w:hint="default"/>
          <w:lang w:val="en-US" w:eastAsia="zh-CN"/>
        </w:rPr>
      </w:pPr>
      <w:r>
        <w:rPr>
          <w:rFonts w:hint="default"/>
          <w:lang w:val="en-US" w:eastAsia="zh-CN"/>
        </w:rPr>
        <w:br w:type="page"/>
      </w:r>
    </w:p>
    <w:p w14:paraId="73260C54">
      <w:pPr>
        <w:pStyle w:val="16"/>
        <w:rPr>
          <w:rFonts w:hint="default"/>
          <w:lang w:val="en-US" w:eastAsia="zh-CN"/>
        </w:rPr>
      </w:pPr>
    </w:p>
    <w:p w14:paraId="4AEFA623">
      <w:pPr>
        <w:pStyle w:val="16"/>
        <w:bidi w:val="0"/>
        <w:jc w:val="center"/>
        <w:rPr>
          <w:rFonts w:hint="eastAsia"/>
          <w:lang w:eastAsia="zh-CN"/>
        </w:rPr>
      </w:pPr>
      <w:r>
        <w:rPr>
          <w:rFonts w:hint="eastAsia"/>
          <w:lang w:eastAsia="zh-CN"/>
        </w:rPr>
        <w:drawing>
          <wp:inline distT="0" distB="0" distL="114300" distR="114300">
            <wp:extent cx="5219700" cy="2557145"/>
            <wp:effectExtent l="0" t="0" r="0" b="14605"/>
            <wp:docPr id="23" name="图片 1" descr="173562433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1735624333493"/>
                    <pic:cNvPicPr>
                      <a:picLocks noChangeAspect="1"/>
                    </pic:cNvPicPr>
                  </pic:nvPicPr>
                  <pic:blipFill>
                    <a:blip r:embed="rId18"/>
                    <a:stretch>
                      <a:fillRect/>
                    </a:stretch>
                  </pic:blipFill>
                  <pic:spPr>
                    <a:xfrm>
                      <a:off x="0" y="0"/>
                      <a:ext cx="5219700" cy="2557145"/>
                    </a:xfrm>
                    <a:prstGeom prst="rect">
                      <a:avLst/>
                    </a:prstGeom>
                    <a:noFill/>
                    <a:ln>
                      <a:noFill/>
                    </a:ln>
                  </pic:spPr>
                </pic:pic>
              </a:graphicData>
            </a:graphic>
          </wp:inline>
        </w:drawing>
      </w:r>
    </w:p>
    <w:p w14:paraId="76A4279F">
      <w:pPr>
        <w:pStyle w:val="40"/>
        <w:bidi w:val="0"/>
        <w:rPr>
          <w:rFonts w:hint="default"/>
          <w:lang w:val="en-US" w:eastAsia="zh-CN"/>
        </w:rPr>
      </w:pPr>
      <w:bookmarkStart w:id="68" w:name="_Toc17460"/>
      <w:r>
        <w:rPr>
          <w:rFonts w:hint="eastAsia"/>
          <w:lang w:val="en-US" w:eastAsia="zh-CN"/>
        </w:rPr>
        <w:t>图6：德安中职小提琴社团第二课堂</w:t>
      </w:r>
      <w:bookmarkEnd w:id="68"/>
    </w:p>
    <w:p w14:paraId="1148A6C1">
      <w:pPr>
        <w:pStyle w:val="36"/>
        <w:bidi w:val="0"/>
        <w:spacing w:before="0" w:beforeLines="0" w:beforeAutospacing="0"/>
        <w:rPr>
          <w:rFonts w:hint="eastAsia"/>
          <w:lang w:val="en-US" w:eastAsia="zh-CN"/>
        </w:rPr>
      </w:pPr>
      <w:bookmarkStart w:id="69" w:name="_Toc12717"/>
      <w:r>
        <w:rPr>
          <w:rFonts w:hint="eastAsia"/>
          <w:lang w:val="en-US" w:eastAsia="zh-CN"/>
        </w:rPr>
        <w:t>4.4 传统文化</w:t>
      </w:r>
      <w:bookmarkEnd w:id="69"/>
    </w:p>
    <w:p w14:paraId="60370522">
      <w:pPr>
        <w:pStyle w:val="16"/>
        <w:rPr>
          <w:rFonts w:hint="default"/>
          <w:lang w:val="en-US" w:eastAsia="zh-CN"/>
        </w:rPr>
      </w:pPr>
      <w:r>
        <w:rPr>
          <w:rFonts w:hint="default"/>
          <w:lang w:val="en-US" w:eastAsia="zh-CN"/>
        </w:rPr>
        <w:t>深入贯彻落实习近平总书记关于弘扬中华优秀传统文化有关重要讲话精神，大力加强中华优秀传统文化教育。</w:t>
      </w:r>
      <w:r>
        <w:rPr>
          <w:rFonts w:hint="eastAsia"/>
          <w:lang w:val="en-US" w:eastAsia="zh-CN"/>
        </w:rPr>
        <w:t>各中职学校开展了校园文化艺术表演会、体育运动会等文体活动，以及主题班会、主题演讲等主题教育活动。这些活动不仅可以丰富学生的课余生活，还可以让学生在参与中感受中华传统文化的魅力，加深对传统文化的理解和认同</w:t>
      </w:r>
      <w:r>
        <w:rPr>
          <w:rFonts w:hint="default"/>
          <w:lang w:val="en-US" w:eastAsia="zh-CN"/>
        </w:rPr>
        <w:t>。</w:t>
      </w:r>
    </w:p>
    <w:p w14:paraId="534E3F60">
      <w:pPr>
        <w:pStyle w:val="16"/>
        <w:rPr>
          <w:rFonts w:hint="default"/>
          <w:lang w:val="en-US" w:eastAsia="zh-CN"/>
        </w:rPr>
      </w:pPr>
    </w:p>
    <w:p w14:paraId="0B943664">
      <w:pPr>
        <w:pStyle w:val="37"/>
        <w:bidi w:val="0"/>
        <w:rPr>
          <w:rFonts w:hint="default"/>
          <w:lang w:val="en-US" w:eastAsia="zh-CN"/>
        </w:rPr>
      </w:pPr>
      <w:bookmarkStart w:id="70" w:name="_Toc14324"/>
      <w:r>
        <w:rPr>
          <w:rFonts w:hint="default"/>
          <w:lang w:val="en-US" w:eastAsia="zh-CN"/>
        </w:rPr>
        <w:t>案例</w:t>
      </w:r>
      <w:r>
        <w:rPr>
          <w:rFonts w:hint="eastAsia"/>
          <w:lang w:val="en-US" w:eastAsia="zh-CN"/>
        </w:rPr>
        <w:t>8：共青中医药学校将传统文化融入专业教学</w:t>
      </w:r>
      <w:bookmarkEnd w:id="70"/>
    </w:p>
    <w:p w14:paraId="16AA66E5">
      <w:pPr>
        <w:pStyle w:val="39"/>
        <w:bidi w:val="0"/>
        <w:rPr>
          <w:rFonts w:hint="default"/>
          <w:lang w:val="en-US" w:eastAsia="zh-CN"/>
        </w:rPr>
      </w:pPr>
      <w:r>
        <w:rPr>
          <w:rFonts w:hint="default"/>
          <w:lang w:val="en-US" w:eastAsia="zh-CN"/>
        </w:rPr>
        <w:t>共青中医药学校根据专业特色进行传统文化的学习，拔火罐疗法在古代中国有着悠久的历史。早在西汉时期的帛书《五十二病方》中，就有关于“角法”（类似于后世的火罐疗法）的记载。而国外的古希腊、古罗马时代，也曾经盛行拔罐疗法。拔火罐古称“角法”，也称“吸筒疗法”“拔火罐”等。通过实践学习让学生更加深入了解中国传统文化，激发学生对于传统文化学习的积极性进而提高教师的教学效果。</w:t>
      </w:r>
    </w:p>
    <w:p w14:paraId="79668188">
      <w:pPr>
        <w:pStyle w:val="39"/>
        <w:bidi w:val="0"/>
        <w:rPr>
          <w:rFonts w:hint="default"/>
          <w:lang w:val="en-US" w:eastAsia="zh-CN"/>
        </w:rPr>
      </w:pPr>
    </w:p>
    <w:p w14:paraId="24434468">
      <w:pPr>
        <w:pStyle w:val="39"/>
        <w:bidi w:val="0"/>
        <w:rPr>
          <w:rFonts w:hint="default"/>
          <w:lang w:val="en-US" w:eastAsia="zh-CN"/>
        </w:rPr>
      </w:pPr>
    </w:p>
    <w:p w14:paraId="2E624DB0">
      <w:pPr>
        <w:pStyle w:val="16"/>
        <w:ind w:left="0" w:leftChars="0" w:firstLine="0" w:firstLineChars="0"/>
        <w:jc w:val="center"/>
        <w:rPr>
          <w:rFonts w:ascii="宋体" w:hAnsi="宋体"/>
        </w:rPr>
      </w:pPr>
      <w:r>
        <w:rPr>
          <w:rFonts w:hint="eastAsia" w:ascii="仿宋" w:hAnsi="仿宋" w:eastAsia="仿宋" w:cs="仿宋"/>
          <w:sz w:val="28"/>
          <w:szCs w:val="28"/>
          <w:lang w:val="en-US" w:eastAsia="zh-CN"/>
        </w:rPr>
        <w:drawing>
          <wp:inline distT="0" distB="0" distL="114300" distR="114300">
            <wp:extent cx="5219700" cy="2935605"/>
            <wp:effectExtent l="0" t="0" r="0" b="17145"/>
            <wp:docPr id="152" name="图片 46" descr="简篇-活力校园 健康成长—彭泽中专校园武术操、韵律操比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6" descr="简篇-活力校园 健康成长—彭泽中专校园武术操、韵律操比赛"/>
                    <pic:cNvPicPr>
                      <a:picLocks noChangeAspect="1"/>
                    </pic:cNvPicPr>
                  </pic:nvPicPr>
                  <pic:blipFill>
                    <a:blip r:embed="rId19"/>
                    <a:stretch>
                      <a:fillRect/>
                    </a:stretch>
                  </pic:blipFill>
                  <pic:spPr>
                    <a:xfrm>
                      <a:off x="0" y="0"/>
                      <a:ext cx="5219700" cy="2935605"/>
                    </a:xfrm>
                    <a:prstGeom prst="rect">
                      <a:avLst/>
                    </a:prstGeom>
                    <a:noFill/>
                    <a:ln w="9525">
                      <a:noFill/>
                    </a:ln>
                  </pic:spPr>
                </pic:pic>
              </a:graphicData>
            </a:graphic>
          </wp:inline>
        </w:drawing>
      </w:r>
    </w:p>
    <w:p w14:paraId="489EBE26">
      <w:pPr>
        <w:pStyle w:val="40"/>
        <w:bidi w:val="0"/>
        <w:rPr>
          <w:rFonts w:hint="eastAsia"/>
          <w:lang w:val="en-US" w:eastAsia="zh-CN"/>
        </w:rPr>
      </w:pPr>
      <w:bookmarkStart w:id="71" w:name="_Toc31382"/>
      <w:r>
        <w:rPr>
          <w:rFonts w:hint="eastAsia"/>
          <w:lang w:val="en-US" w:eastAsia="zh-CN"/>
        </w:rPr>
        <w:t>图7：彭泽中专开展武术操比赛</w:t>
      </w:r>
      <w:bookmarkEnd w:id="71"/>
    </w:p>
    <w:p w14:paraId="5B837788">
      <w:pPr>
        <w:pStyle w:val="16"/>
        <w:rPr>
          <w:rFonts w:hint="eastAsia"/>
          <w:lang w:val="en-US" w:eastAsia="zh-CN"/>
        </w:rPr>
      </w:pPr>
    </w:p>
    <w:p w14:paraId="1CD70585">
      <w:pPr>
        <w:pStyle w:val="37"/>
        <w:bidi w:val="0"/>
        <w:rPr>
          <w:rFonts w:hint="eastAsia"/>
          <w:lang w:val="en-US" w:eastAsia="zh-CN"/>
        </w:rPr>
      </w:pPr>
      <w:bookmarkStart w:id="72" w:name="_Toc25438"/>
      <w:r>
        <w:rPr>
          <w:rFonts w:hint="eastAsia"/>
          <w:lang w:val="en-US" w:eastAsia="zh-CN"/>
        </w:rPr>
        <w:t>案例9：瑞昌中专非物质文化遗产进校园系列活动</w:t>
      </w:r>
      <w:bookmarkEnd w:id="72"/>
    </w:p>
    <w:p w14:paraId="2FF33E7C">
      <w:pPr>
        <w:pStyle w:val="39"/>
        <w:bidi w:val="0"/>
        <w:rPr>
          <w:rFonts w:hint="default"/>
          <w:lang w:val="en-US" w:eastAsia="zh-CN"/>
        </w:rPr>
      </w:pPr>
      <w:r>
        <w:rPr>
          <w:rFonts w:hint="default"/>
          <w:lang w:val="en-US" w:eastAsia="zh-CN"/>
        </w:rPr>
        <w:t>采茶戏入校园</w:t>
      </w:r>
    </w:p>
    <w:p w14:paraId="2104AF31">
      <w:pPr>
        <w:pStyle w:val="39"/>
        <w:bidi w:val="0"/>
        <w:rPr>
          <w:rFonts w:hint="default"/>
          <w:lang w:val="en-US" w:eastAsia="zh-CN"/>
        </w:rPr>
      </w:pPr>
      <w:r>
        <w:rPr>
          <w:rFonts w:hint="default"/>
          <w:lang w:val="en-US" w:eastAsia="zh-CN"/>
        </w:rPr>
        <w:t>4月11日下午，国家濒危剧种、江西省非物质文化遗产—采茶戏在瑞昌中专开班，出席开班仪式的有市文化馆领导、市采茶戏保护中心负责人、市教育领导、校领导以及一百余学生。</w:t>
      </w:r>
    </w:p>
    <w:p w14:paraId="284A86D4">
      <w:pPr>
        <w:pStyle w:val="39"/>
        <w:bidi w:val="0"/>
        <w:rPr>
          <w:rFonts w:hint="default"/>
          <w:lang w:val="en-US" w:eastAsia="zh-CN"/>
        </w:rPr>
      </w:pPr>
      <w:r>
        <w:rPr>
          <w:rFonts w:hint="default"/>
          <w:lang w:val="en-US" w:eastAsia="zh-CN"/>
        </w:rPr>
        <w:t>戏曲走进校园，让学生感受中华优秀传统文化，丰富了我们的校园文化生活，让广大师生在学习与欣赏中提高鉴别美、创造美和发现美的艺术能力，希望这一传统文化能得到更好地传承和弘扬！</w:t>
      </w:r>
    </w:p>
    <w:p w14:paraId="783224F0">
      <w:pPr>
        <w:pStyle w:val="39"/>
        <w:bidi w:val="0"/>
        <w:rPr>
          <w:rFonts w:hint="default"/>
          <w:lang w:val="en-US" w:eastAsia="zh-CN"/>
        </w:rPr>
      </w:pPr>
      <w:r>
        <w:rPr>
          <w:rFonts w:hint="default"/>
          <w:lang w:val="en-US" w:eastAsia="zh-CN"/>
        </w:rPr>
        <w:t>舞龙民间艺术的传承</w:t>
      </w:r>
    </w:p>
    <w:p w14:paraId="677975E2">
      <w:pPr>
        <w:pStyle w:val="39"/>
        <w:bidi w:val="0"/>
        <w:rPr>
          <w:rFonts w:hint="default"/>
          <w:lang w:val="en-US" w:eastAsia="zh-CN"/>
        </w:rPr>
      </w:pPr>
      <w:r>
        <w:rPr>
          <w:rFonts w:hint="default"/>
          <w:lang w:val="en-US" w:eastAsia="zh-CN"/>
        </w:rPr>
        <w:t>瑞昌中专以弘扬国粹、健身励志、振奋精神为出发点，锐意进取</w:t>
      </w:r>
      <w:r>
        <w:rPr>
          <w:rFonts w:hint="eastAsia"/>
          <w:lang w:val="en-US" w:eastAsia="zh-CN"/>
        </w:rPr>
        <w:t>，</w:t>
      </w:r>
      <w:r>
        <w:rPr>
          <w:rFonts w:hint="default"/>
          <w:lang w:val="en-US" w:eastAsia="zh-CN"/>
        </w:rPr>
        <w:t>勇于开拓。瑞昌中专学子齐心协力，既锻炼出了高超的运动协调能力，又培养了精诚协作的团队精神，为中华传统文化的发扬光大奉献出自己的拳拳爱心与火热青春。</w:t>
      </w:r>
    </w:p>
    <w:p w14:paraId="0C126C70">
      <w:pPr>
        <w:pStyle w:val="39"/>
        <w:bidi w:val="0"/>
        <w:rPr>
          <w:rFonts w:hint="default"/>
          <w:lang w:val="en-US" w:eastAsia="zh-CN"/>
        </w:rPr>
      </w:pPr>
      <w:r>
        <w:rPr>
          <w:rFonts w:hint="default"/>
          <w:lang w:val="en-US" w:eastAsia="zh-CN"/>
        </w:rPr>
        <w:t>剪纸艺术</w:t>
      </w:r>
    </w:p>
    <w:p w14:paraId="51AE866A">
      <w:pPr>
        <w:pStyle w:val="39"/>
        <w:bidi w:val="0"/>
        <w:rPr>
          <w:rFonts w:hint="default"/>
          <w:lang w:val="en-US" w:eastAsia="zh-CN"/>
        </w:rPr>
      </w:pPr>
      <w:r>
        <w:rPr>
          <w:rFonts w:hint="default"/>
          <w:lang w:val="en-US" w:eastAsia="zh-CN"/>
        </w:rPr>
        <w:t>瑞昌中等专业学校开设了瑞昌特色剪纸课程，把地方特色文化与社会主义核心价值观贯通起来，激励学生热爱生活、陶冶情操，树立健康向上的价值取向，进一步传承和保护瑞昌剪纸文化。</w:t>
      </w:r>
    </w:p>
    <w:p w14:paraId="25F311A9">
      <w:pPr>
        <w:pStyle w:val="16"/>
        <w:bidi w:val="0"/>
        <w:rPr>
          <w:rFonts w:hint="default"/>
          <w:lang w:val="en-US" w:eastAsia="zh-CN"/>
        </w:rPr>
      </w:pPr>
    </w:p>
    <w:p w14:paraId="2B5B3422">
      <w:pPr>
        <w:pStyle w:val="37"/>
        <w:bidi w:val="0"/>
        <w:rPr>
          <w:rFonts w:hint="eastAsia" w:cs="Times New Roman"/>
          <w:lang w:val="en-US" w:eastAsia="zh-CN"/>
        </w:rPr>
      </w:pPr>
      <w:bookmarkStart w:id="73" w:name="_Toc13057"/>
      <w:r>
        <w:rPr>
          <w:rFonts w:hint="eastAsia" w:cs="Times New Roman"/>
          <w:lang w:val="en-US" w:eastAsia="zh-CN"/>
        </w:rPr>
        <w:t>案例10：修水韶华传承千年文化，武术点亮校园</w:t>
      </w:r>
      <w:bookmarkEnd w:id="73"/>
    </w:p>
    <w:p w14:paraId="62EF5EE4">
      <w:pPr>
        <w:pStyle w:val="39"/>
        <w:bidi w:val="0"/>
        <w:rPr>
          <w:rFonts w:hint="default"/>
          <w:lang w:val="en-US" w:eastAsia="zh-CN"/>
        </w:rPr>
      </w:pPr>
      <w:r>
        <w:rPr>
          <w:rFonts w:hint="default"/>
          <w:lang w:val="en-US" w:eastAsia="zh-CN"/>
        </w:rPr>
        <w:t>中华文化，源远流长；中华武术，博大精深。为弘扬中华民族传统文化，丰富校园文化生活，营造浓厚的育人环境，激发学生的民族自豪感。倡导学生积极参加形式多样、生动活泼、健康向上的体育活动，切实强健学生体魄。学校在修水县武术协会的大力支持下，隆重举行“传承千年文化，武术点亮校园”武术进校园活动启动仪式，改课间操为武术，弘扬传统文化，以武育德、以武励志、以武养性、以武展美。</w:t>
      </w:r>
    </w:p>
    <w:p w14:paraId="0FB61835">
      <w:pPr>
        <w:rPr>
          <w:rFonts w:hint="eastAsia"/>
          <w:lang w:val="en-US" w:eastAsia="zh-CN"/>
        </w:rPr>
      </w:pPr>
      <w:bookmarkStart w:id="74" w:name="_Toc9375"/>
      <w:r>
        <w:rPr>
          <w:rFonts w:hint="eastAsia"/>
          <w:lang w:val="en-US" w:eastAsia="zh-CN"/>
        </w:rPr>
        <w:br w:type="page"/>
      </w:r>
    </w:p>
    <w:p w14:paraId="1FD33780">
      <w:pPr>
        <w:pStyle w:val="15"/>
        <w:numPr>
          <w:ilvl w:val="0"/>
          <w:numId w:val="0"/>
        </w:numPr>
        <w:bidi w:val="0"/>
        <w:ind w:left="0" w:leftChars="0" w:firstLine="640" w:firstLineChars="200"/>
        <w:rPr>
          <w:rFonts w:hint="eastAsia"/>
          <w:lang w:val="en-US" w:eastAsia="zh-CN"/>
        </w:rPr>
      </w:pPr>
      <w:bookmarkStart w:id="75" w:name="_Toc11921"/>
      <w:r>
        <w:rPr>
          <w:rFonts w:hint="eastAsia"/>
          <w:lang w:val="en-US" w:eastAsia="zh-CN"/>
        </w:rPr>
        <w:t>5 产教融合</w:t>
      </w:r>
      <w:bookmarkEnd w:id="74"/>
      <w:bookmarkEnd w:id="75"/>
    </w:p>
    <w:p w14:paraId="0BE651D7">
      <w:pPr>
        <w:pStyle w:val="36"/>
        <w:bidi w:val="0"/>
        <w:rPr>
          <w:rFonts w:hint="default"/>
          <w:lang w:val="en-US" w:eastAsia="zh-CN"/>
        </w:rPr>
      </w:pPr>
      <w:bookmarkStart w:id="76" w:name="_Toc5583"/>
      <w:r>
        <w:rPr>
          <w:rFonts w:hint="eastAsia"/>
          <w:lang w:val="en-US" w:eastAsia="zh-CN"/>
        </w:rPr>
        <w:t>5.1 政策引导</w:t>
      </w:r>
      <w:bookmarkEnd w:id="76"/>
    </w:p>
    <w:p w14:paraId="7211D78E">
      <w:pPr>
        <w:pStyle w:val="16"/>
        <w:rPr>
          <w:rFonts w:hint="eastAsia"/>
          <w:lang w:val="en-US" w:eastAsia="zh-CN"/>
        </w:rPr>
      </w:pPr>
      <w:r>
        <w:rPr>
          <w:rFonts w:hint="eastAsia"/>
          <w:lang w:val="en-US" w:eastAsia="zh-CN"/>
        </w:rPr>
        <w:t>针对我市职业院校、技工院校的产教融合工作呈现“合而不深”“校热企冷”等问题，市教育局根据市委、市政府部署，代拟了《关于进一步完善政校企合作机制的意见》并在发布后及时在官网进行了政策图文解读。</w:t>
      </w:r>
    </w:p>
    <w:p w14:paraId="06FCE2F7">
      <w:pPr>
        <w:pStyle w:val="16"/>
        <w:rPr>
          <w:rFonts w:hint="eastAsia"/>
          <w:lang w:val="en-US" w:eastAsia="zh-CN"/>
        </w:rPr>
      </w:pPr>
      <w:r>
        <w:rPr>
          <w:rFonts w:hint="eastAsia"/>
          <w:lang w:val="en-US" w:eastAsia="zh-CN"/>
        </w:rPr>
        <w:t>该文件明确了以“职教大脑”、数字一体化建设、定期信息发布等途径“搭建政校企信息共享智慧服务平台”；以打造省级产教联合体、建设产教融合共同体、培育一批政校企合作示范典型等途径“建立产教融合战略联盟机制”；以推动科研机制创新、鼓励企业与高校长期定向合作等途径“建立产教融合战略联盟机制”；以推进人才引育用留全链条机制建立、一体化教学改革、形成产、学、研循环联动体等途径“建立“揭榜挂帅”加快成果转化机制”；以建立机制、列出政策清单、供需清单、项目清单的途径“建立政校企合作联席会议机制”等机制推动解决我市职业教育产教融合“合而不深”“校热企冷”等问题。</w:t>
      </w:r>
    </w:p>
    <w:p w14:paraId="153C99C1">
      <w:pPr>
        <w:pStyle w:val="16"/>
        <w:rPr>
          <w:rFonts w:hint="eastAsia"/>
          <w:lang w:val="en-US" w:eastAsia="zh-CN"/>
        </w:rPr>
      </w:pPr>
      <w:r>
        <w:rPr>
          <w:rFonts w:hint="eastAsia"/>
          <w:lang w:val="en-US" w:eastAsia="zh-CN"/>
        </w:rPr>
        <w:t>在市委、市政府的支持下，九江市化工、先进制造、数字经济以及“三茶”统筹市域产教联合体先后成立，其中九江先进制造市域产教联合体已经省工信厅、发改委、省教育厅联合推荐，正在申报国家级市域产教联合体。</w:t>
      </w:r>
    </w:p>
    <w:p w14:paraId="0D5084FC">
      <w:pPr>
        <w:pStyle w:val="16"/>
        <w:rPr>
          <w:rFonts w:hint="eastAsia"/>
          <w:lang w:val="en-US" w:eastAsia="zh-CN"/>
        </w:rPr>
      </w:pPr>
      <w:r>
        <w:rPr>
          <w:rFonts w:hint="eastAsia"/>
          <w:lang w:val="en-US" w:eastAsia="zh-CN"/>
        </w:rPr>
        <w:t>各职业院校以产业发展急需为牵引，建成了覆盖石化化工、电子信息、装备制造等多个重点产业的各级各类产业学院27个，其中10家被评为市级现代产业学院，九江学院有机硅新材料产业学院被评为第二批江西省普通本科高校重点现代产业学院。</w:t>
      </w:r>
    </w:p>
    <w:p w14:paraId="093C254D">
      <w:pPr>
        <w:pStyle w:val="37"/>
        <w:bidi w:val="0"/>
        <w:rPr>
          <w:rFonts w:hint="eastAsia"/>
          <w:lang w:val="en-US" w:eastAsia="zh-CN"/>
        </w:rPr>
      </w:pPr>
      <w:bookmarkStart w:id="77" w:name="_Toc14757"/>
      <w:r>
        <w:rPr>
          <w:rFonts w:hint="eastAsia"/>
          <w:lang w:val="en-US" w:eastAsia="zh-CN"/>
        </w:rPr>
        <w:t>案例11：华东电子与瑞颜生物举行订单班授牌仪式</w:t>
      </w:r>
      <w:bookmarkEnd w:id="77"/>
    </w:p>
    <w:p w14:paraId="0AAEBA24">
      <w:pPr>
        <w:pStyle w:val="39"/>
        <w:bidi w:val="0"/>
        <w:rPr>
          <w:rFonts w:hint="eastAsia"/>
          <w:lang w:val="en-US" w:eastAsia="zh-CN"/>
        </w:rPr>
      </w:pPr>
      <w:r>
        <w:rPr>
          <w:rFonts w:hint="eastAsia"/>
          <w:lang w:val="en-US" w:eastAsia="zh-CN"/>
        </w:rPr>
        <w:t>为加强校企合作，深化产教融合，切实推动校企优势互补、资源共享、互惠双赢、共同发展，9月19日下午，我校美容专业与深圳瑞颜生物科技有限公司、蓝龙人力资源有限公司于浔阳校区报告厅隆重举行“瑞颜”订单班授牌仪式。学校董事会董事长廖金曦、董事陈平章、瑞颜科技董事长彭礼洋、蓝龙人力资源有限公司经理李鑫鑫、浔阳校区常务副校长边辉鹏、副校长邹萌、吕敦龙、汪志刚、校长助理邹乐义、订单班相关老师以及全体学生参加本次开班仪式。</w:t>
      </w:r>
    </w:p>
    <w:p w14:paraId="27847735">
      <w:pPr>
        <w:pStyle w:val="39"/>
        <w:bidi w:val="0"/>
        <w:rPr>
          <w:rFonts w:hint="eastAsia"/>
          <w:lang w:val="en-US" w:eastAsia="zh-CN"/>
        </w:rPr>
      </w:pPr>
      <w:r>
        <w:rPr>
          <w:rFonts w:hint="eastAsia"/>
          <w:lang w:val="en-US" w:eastAsia="zh-CN"/>
        </w:rPr>
        <w:t>通过此次活动，让同学们进一步了企业的需求，勉励同学们掌握一技之长，练就过硬本领，发挥自己最大的能量，在学校或者步入社会自觉遵守企业和学校的各项规章制度，播种勤劳和汗水，收获希望与果实，谱写华丽新篇章！</w:t>
      </w:r>
    </w:p>
    <w:p w14:paraId="3035FD8F">
      <w:pPr>
        <w:pStyle w:val="39"/>
        <w:bidi w:val="0"/>
        <w:rPr>
          <w:rFonts w:hint="eastAsia"/>
          <w:lang w:val="en-US" w:eastAsia="zh-CN"/>
        </w:rPr>
      </w:pPr>
    </w:p>
    <w:p w14:paraId="525655E7">
      <w:pPr>
        <w:pStyle w:val="36"/>
        <w:bidi w:val="0"/>
        <w:rPr>
          <w:rFonts w:hint="default"/>
          <w:lang w:val="en-US" w:eastAsia="zh-CN"/>
        </w:rPr>
      </w:pPr>
      <w:bookmarkStart w:id="78" w:name="_Toc31619"/>
      <w:r>
        <w:rPr>
          <w:rFonts w:hint="eastAsia"/>
          <w:lang w:val="en-US" w:eastAsia="zh-CN"/>
        </w:rPr>
        <w:t>5.2 专项对接</w:t>
      </w:r>
      <w:bookmarkEnd w:id="78"/>
    </w:p>
    <w:p w14:paraId="6A734FD7">
      <w:pPr>
        <w:pStyle w:val="16"/>
        <w:rPr>
          <w:rFonts w:hint="eastAsia"/>
          <w:lang w:val="en-US" w:eastAsia="zh-CN"/>
        </w:rPr>
      </w:pPr>
      <w:r>
        <w:rPr>
          <w:rFonts w:hint="eastAsia"/>
          <w:lang w:val="en-US" w:eastAsia="zh-CN"/>
        </w:rPr>
        <w:t>2024年4月8日，市委书记刘文华在九江经开区调研并主持召开企业家座谈会上要求“加快我市院校电子信息类专业与企业的对接力度。”4月9日，市委副书记黄强、市政府副市长杜少华出席九江市职业教育座谈会并讲话，会议明晰了我市职业教育发展的困境和挑战及其解决的思路和办法；4月12日，市教育局召集10所院校电子信息类专业及招生就业处主要负责人，召开校企对接会，会议促成院校与经开区企业用工需求的有效对接；4月16日，市教育局、经开区联合召开九江市电子电器产业政校企座谈会，会议通过扎实有效的形式，促成相关院校与企业互动交流，既直面困难挑战，又分享经验做法。</w:t>
      </w:r>
    </w:p>
    <w:p w14:paraId="27D8F3E2">
      <w:pPr>
        <w:pStyle w:val="16"/>
        <w:rPr>
          <w:rFonts w:hint="eastAsia"/>
          <w:lang w:val="en-US" w:eastAsia="zh-CN"/>
        </w:rPr>
      </w:pPr>
      <w:r>
        <w:rPr>
          <w:rFonts w:hint="eastAsia"/>
          <w:lang w:val="en-US" w:eastAsia="zh-CN"/>
        </w:rPr>
        <w:t>截至目前，全市电子信息产业群涉及院校共24所（驻市及市属高校7所、中职学校17所）；院校开设专业以电子信息工程、大数据技术、物联网应用技术等居多；专业点数量共92个（驻市及市属高校57个、中职学校35个）；在校生人数共29537人（驻市及市属高校16264人、中职学校13273人）。</w:t>
      </w:r>
    </w:p>
    <w:p w14:paraId="3D527C3D">
      <w:pPr>
        <w:pStyle w:val="16"/>
        <w:rPr>
          <w:rFonts w:hint="default"/>
          <w:lang w:val="en-US" w:eastAsia="zh-CN"/>
        </w:rPr>
      </w:pPr>
      <w:r>
        <w:rPr>
          <w:rFonts w:hint="eastAsia"/>
          <w:lang w:val="en-US" w:eastAsia="zh-CN"/>
        </w:rPr>
        <w:t>前期，为解决经开区企业用工紧张矛盾，市教育局与经开区联合召开2024新春校企合作对接会，九江科技中专、华东电子信息学校、九江理工职业技术学校等职业院校支持瑞智、TCL、恒通、艾美特、艾普若等园区企业用工共计1027人。近期，经开区18家电子电器企业需要用工250人，通过校园招聘、冠名班、社会实践、顶岗实习等校企对接方式，初步达成意向签约有210余人。</w:t>
      </w:r>
    </w:p>
    <w:p w14:paraId="67A02222">
      <w:pPr>
        <w:pStyle w:val="39"/>
        <w:bidi w:val="0"/>
        <w:rPr>
          <w:rFonts w:hint="eastAsia"/>
          <w:lang w:val="en-US" w:eastAsia="zh-CN"/>
        </w:rPr>
      </w:pPr>
    </w:p>
    <w:p w14:paraId="4A08C232">
      <w:pPr>
        <w:pStyle w:val="16"/>
        <w:ind w:left="0" w:leftChars="0" w:firstLine="0" w:firstLineChars="0"/>
        <w:jc w:val="center"/>
        <w:rPr>
          <w:rFonts w:hint="eastAsia"/>
          <w:lang w:val="en-US" w:eastAsia="zh-CN"/>
        </w:rPr>
      </w:pPr>
      <w:r>
        <w:rPr>
          <w:rFonts w:ascii="仿宋" w:hAnsi="仿宋" w:cs="Times New Roman"/>
          <w:szCs w:val="32"/>
        </w:rPr>
        <w:drawing>
          <wp:inline distT="0" distB="0" distL="114300" distR="114300">
            <wp:extent cx="5219700" cy="3912235"/>
            <wp:effectExtent l="0" t="0" r="0" b="12065"/>
            <wp:docPr id="19" name="图片 19" descr="E:\工作文件\韶华\宣传\韶华职高参观照片\微信图片_20231220104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韶华\宣传\韶华职高参观照片\微信图片_2023122010404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19700" cy="3912235"/>
                    </a:xfrm>
                    <a:prstGeom prst="rect">
                      <a:avLst/>
                    </a:prstGeom>
                    <a:noFill/>
                    <a:ln>
                      <a:noFill/>
                    </a:ln>
                  </pic:spPr>
                </pic:pic>
              </a:graphicData>
            </a:graphic>
          </wp:inline>
        </w:drawing>
      </w:r>
    </w:p>
    <w:p w14:paraId="3EEAF9F3">
      <w:pPr>
        <w:pStyle w:val="40"/>
        <w:bidi w:val="0"/>
        <w:rPr>
          <w:rFonts w:hint="default"/>
          <w:lang w:val="en-US" w:eastAsia="zh-CN"/>
        </w:rPr>
      </w:pPr>
      <w:bookmarkStart w:id="79" w:name="_Toc6539"/>
      <w:r>
        <w:rPr>
          <w:rFonts w:hint="eastAsia"/>
          <w:lang w:val="en-US" w:eastAsia="zh-CN"/>
        </w:rPr>
        <w:t>图8：修水韶华教职工实地考察修水县鸿泰模具有限公司</w:t>
      </w:r>
      <w:bookmarkEnd w:id="79"/>
    </w:p>
    <w:p w14:paraId="34F652EC">
      <w:pPr>
        <w:pStyle w:val="16"/>
        <w:rPr>
          <w:rFonts w:hint="default"/>
          <w:lang w:val="en-US" w:eastAsia="zh-CN"/>
        </w:rPr>
      </w:pPr>
      <w:r>
        <w:rPr>
          <w:rFonts w:hint="eastAsia"/>
          <w:lang w:val="en-US" w:eastAsia="zh-CN"/>
        </w:rPr>
        <w:t>全市中职学校与企业共建开放型区域产教融合实践中心20个，聘请行业导师159人，其中：聘请大国工匠、劳动模范6人，年课时总量16185学时，支付行业导师课酬114.9万元。</w:t>
      </w:r>
    </w:p>
    <w:p w14:paraId="14A067AC">
      <w:pPr>
        <w:pStyle w:val="36"/>
        <w:bidi w:val="0"/>
        <w:rPr>
          <w:rFonts w:hint="eastAsia"/>
          <w:lang w:val="en-US" w:eastAsia="zh-CN"/>
        </w:rPr>
      </w:pPr>
      <w:bookmarkStart w:id="80" w:name="_Toc6288"/>
      <w:r>
        <w:rPr>
          <w:rFonts w:hint="eastAsia"/>
          <w:lang w:val="en-US" w:eastAsia="zh-CN"/>
        </w:rPr>
        <w:t>5.3 1+X试点</w:t>
      </w:r>
      <w:bookmarkEnd w:id="80"/>
    </w:p>
    <w:p w14:paraId="5324FFB0">
      <w:pPr>
        <w:pStyle w:val="16"/>
        <w:rPr>
          <w:rFonts w:hint="default"/>
          <w:lang w:val="en-US" w:eastAsia="zh-CN"/>
        </w:rPr>
      </w:pPr>
      <w:r>
        <w:rPr>
          <w:rFonts w:hint="eastAsia"/>
          <w:lang w:val="en-US" w:eastAsia="zh-CN"/>
        </w:rPr>
        <w:t>各中职学校</w:t>
      </w:r>
      <w:r>
        <w:rPr>
          <w:rFonts w:hint="default"/>
          <w:lang w:val="en-US" w:eastAsia="zh-CN"/>
        </w:rPr>
        <w:t>根据专业特点和行业需求，</w:t>
      </w:r>
      <w:r>
        <w:rPr>
          <w:rFonts w:hint="eastAsia"/>
          <w:lang w:val="en-US" w:eastAsia="zh-CN"/>
        </w:rPr>
        <w:t>参与1+X试点工作。通过</w:t>
      </w:r>
      <w:r>
        <w:rPr>
          <w:rFonts w:hint="default"/>
          <w:lang w:val="en-US" w:eastAsia="zh-CN"/>
        </w:rPr>
        <w:t>组织学生参与培训和考核，</w:t>
      </w:r>
      <w:r>
        <w:rPr>
          <w:rFonts w:hint="eastAsia"/>
          <w:lang w:val="en-US" w:eastAsia="zh-CN"/>
        </w:rPr>
        <w:t>并</w:t>
      </w:r>
      <w:r>
        <w:rPr>
          <w:rFonts w:hint="default"/>
          <w:lang w:val="en-US" w:eastAsia="zh-CN"/>
        </w:rPr>
        <w:t>将证书培训内容融入日常教学中，使学生在学习专业知识的同时，也能获得相应的技能资格。</w:t>
      </w:r>
    </w:p>
    <w:p w14:paraId="5E0EC3C8">
      <w:pPr>
        <w:pStyle w:val="37"/>
        <w:bidi w:val="0"/>
        <w:rPr>
          <w:rFonts w:hint="default"/>
          <w:lang w:val="en-US" w:eastAsia="zh-CN"/>
        </w:rPr>
      </w:pPr>
      <w:bookmarkStart w:id="81" w:name="_Toc17282"/>
      <w:r>
        <w:rPr>
          <w:rFonts w:hint="eastAsia"/>
          <w:lang w:val="en-US" w:eastAsia="zh-CN"/>
        </w:rPr>
        <w:t>案例12：九江科技中专在试点中前行，在示范中发展</w:t>
      </w:r>
      <w:bookmarkEnd w:id="81"/>
    </w:p>
    <w:p w14:paraId="751BA035">
      <w:pPr>
        <w:pStyle w:val="39"/>
        <w:bidi w:val="0"/>
        <w:rPr>
          <w:rFonts w:hint="default"/>
          <w:lang w:val="en-US" w:eastAsia="zh-CN"/>
        </w:rPr>
      </w:pPr>
      <w:r>
        <w:rPr>
          <w:rFonts w:hint="default"/>
          <w:lang w:val="en-US" w:eastAsia="zh-CN"/>
        </w:rPr>
        <w:t xml:space="preserve">一、实施背景。1+X 证书制度是国家职业教育制度建设的一项基本制度，也是构建中国特色职教发展模式的一项重大制度创新。它体现了职业教育作为一种类型教育的重要特征，是落实立德树人根本任务、完善职业教育和培训体系、深化产教融合校企合作的重要保证。 </w:t>
      </w:r>
    </w:p>
    <w:p w14:paraId="5F04E39D">
      <w:pPr>
        <w:pStyle w:val="39"/>
        <w:bidi w:val="0"/>
        <w:rPr>
          <w:rFonts w:hint="default"/>
          <w:lang w:val="en-US" w:eastAsia="zh-CN"/>
        </w:rPr>
      </w:pPr>
      <w:r>
        <w:rPr>
          <w:rFonts w:hint="default"/>
          <w:lang w:val="en-US" w:eastAsia="zh-CN"/>
        </w:rPr>
        <w:t xml:space="preserve">二、实施目标。将 1+X 证书制度试点与专业建设、课程建设、教师队伍建设等紧密结合，推进“1”和“X”的有机衔接，提升学校教育质量和学生就业能力。 </w:t>
      </w:r>
    </w:p>
    <w:p w14:paraId="6542862B">
      <w:pPr>
        <w:pStyle w:val="39"/>
        <w:bidi w:val="0"/>
        <w:rPr>
          <w:rFonts w:hint="default"/>
          <w:lang w:val="en-US" w:eastAsia="zh-CN"/>
        </w:rPr>
      </w:pPr>
      <w:r>
        <w:rPr>
          <w:rFonts w:hint="default"/>
          <w:lang w:val="en-US" w:eastAsia="zh-CN"/>
        </w:rPr>
        <w:t xml:space="preserve">通过试点，深化教师、教材、教法“三教”改革；促进校企合作，打造 1+X 证书培训考核示范性基地，为社会培养出合格的人才。 </w:t>
      </w:r>
    </w:p>
    <w:p w14:paraId="1891CC99">
      <w:pPr>
        <w:pStyle w:val="39"/>
        <w:bidi w:val="0"/>
        <w:rPr>
          <w:rFonts w:hint="default"/>
          <w:lang w:val="en-US" w:eastAsia="zh-CN"/>
        </w:rPr>
      </w:pPr>
      <w:r>
        <w:rPr>
          <w:rFonts w:hint="default"/>
          <w:lang w:val="en-US" w:eastAsia="zh-CN"/>
        </w:rPr>
        <w:t xml:space="preserve">三、主要做法。一是提高思想认识，加强组织领导。成立 1+X 证书制度试点工作领导小组，坚持一把手负责制，主要领导亲自抓、领导小组成员具体抓，形成人员分工明确、一级抓一级、层层落实责任的工作格局。二是加强改革创新，提升人才质量。修订人才培养方案。三是重视师生培训，细抓培训质量。学校牵头组织开展培训。积极选派教师参加评价组织的培训。组织学生参加职业技能等级资格考核培训。四是探索“学分银行”，实现成果互换。初步建立江西九江科技中等专业学校学分银行制度，尝试建立学习成果的认定、积累与转换。 </w:t>
      </w:r>
    </w:p>
    <w:p w14:paraId="5A323AB8">
      <w:pPr>
        <w:pStyle w:val="39"/>
        <w:bidi w:val="0"/>
        <w:rPr>
          <w:rFonts w:hint="default"/>
          <w:lang w:val="en-US" w:eastAsia="zh-CN"/>
        </w:rPr>
      </w:pPr>
      <w:r>
        <w:rPr>
          <w:rFonts w:hint="default"/>
          <w:lang w:val="en-US" w:eastAsia="zh-CN"/>
        </w:rPr>
        <w:t xml:space="preserve">四、工作成绩。学校获得汽车运用与维修专业江西省中职办公室，并获得智能新能源汽车、汽车运用与维修、智能网联汽车、母婴护理、幼儿照护、云计算平台运维与开发、物联网智能家居、界面设计、工业机器人操作与运维、数控车铣加工、电子商务数据分析等 11 个考核站点。 </w:t>
      </w:r>
    </w:p>
    <w:p w14:paraId="076A64C8">
      <w:pPr>
        <w:pStyle w:val="39"/>
        <w:bidi w:val="0"/>
        <w:rPr>
          <w:rFonts w:hint="default"/>
          <w:lang w:val="en-US" w:eastAsia="zh-CN"/>
        </w:rPr>
      </w:pPr>
      <w:r>
        <w:rPr>
          <w:rFonts w:hint="default"/>
          <w:lang w:val="en-US" w:eastAsia="zh-CN"/>
        </w:rPr>
        <w:t xml:space="preserve">五、体会与思考。一是试点院校应与培训评价组织紧密合作，二是试点院校应建设完善相关配套制度。 </w:t>
      </w:r>
    </w:p>
    <w:p w14:paraId="7B769EB1">
      <w:pPr>
        <w:pStyle w:val="16"/>
        <w:rPr>
          <w:rFonts w:hint="default"/>
          <w:lang w:val="en-US" w:eastAsia="zh-CN"/>
        </w:rPr>
      </w:pPr>
    </w:p>
    <w:p w14:paraId="1D3E17FF">
      <w:pPr>
        <w:pStyle w:val="16"/>
        <w:rPr>
          <w:rFonts w:hint="eastAsia"/>
          <w:lang w:val="en-US" w:eastAsia="zh-CN"/>
        </w:rPr>
      </w:pPr>
      <w:r>
        <w:rPr>
          <w:rFonts w:hint="eastAsia"/>
          <w:lang w:val="en-US" w:eastAsia="zh-CN"/>
        </w:rPr>
        <w:t>本年全市中职学校共建有1+X考级站58个，在建6个，覆盖专业点76个，试点覆盖学生7006人。全年共有1204人次通过相关证书考试。</w:t>
      </w:r>
    </w:p>
    <w:p w14:paraId="24721109">
      <w:pPr>
        <w:pStyle w:val="16"/>
        <w:rPr>
          <w:rFonts w:hint="eastAsia"/>
          <w:lang w:val="en-US" w:eastAsia="zh-CN"/>
        </w:rPr>
      </w:pPr>
    </w:p>
    <w:p w14:paraId="7494A3CC">
      <w:pPr>
        <w:pStyle w:val="16"/>
        <w:ind w:left="0" w:leftChars="0" w:firstLine="0" w:firstLineChars="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drawing>
          <wp:inline distT="0" distB="0" distL="114300" distR="114300">
            <wp:extent cx="5219700" cy="3914140"/>
            <wp:effectExtent l="0" t="0" r="0" b="10160"/>
            <wp:docPr id="30" name="图片 30" descr="实操考核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实操考核2"/>
                    <pic:cNvPicPr>
                      <a:picLocks noChangeAspect="1"/>
                    </pic:cNvPicPr>
                  </pic:nvPicPr>
                  <pic:blipFill>
                    <a:blip r:embed="rId21"/>
                    <a:stretch>
                      <a:fillRect/>
                    </a:stretch>
                  </pic:blipFill>
                  <pic:spPr>
                    <a:xfrm>
                      <a:off x="0" y="0"/>
                      <a:ext cx="5219700" cy="3914140"/>
                    </a:xfrm>
                    <a:prstGeom prst="rect">
                      <a:avLst/>
                    </a:prstGeom>
                  </pic:spPr>
                </pic:pic>
              </a:graphicData>
            </a:graphic>
          </wp:inline>
        </w:drawing>
      </w:r>
    </w:p>
    <w:p w14:paraId="7F14C841">
      <w:pPr>
        <w:pStyle w:val="40"/>
        <w:bidi w:val="0"/>
        <w:rPr>
          <w:rFonts w:hint="default"/>
          <w:lang w:val="en-US" w:eastAsia="zh-CN"/>
        </w:rPr>
      </w:pPr>
      <w:bookmarkStart w:id="82" w:name="_Toc24844"/>
      <w:r>
        <w:rPr>
          <w:rFonts w:hint="eastAsia"/>
          <w:lang w:val="en-US" w:eastAsia="zh-CN"/>
        </w:rPr>
        <w:t>图9：九江卫校1+X母婴护理实操考核</w:t>
      </w:r>
      <w:bookmarkEnd w:id="82"/>
    </w:p>
    <w:p w14:paraId="548BF5C2">
      <w:pPr>
        <w:pStyle w:val="16"/>
        <w:rPr>
          <w:rFonts w:hint="default"/>
          <w:lang w:val="en-US" w:eastAsia="zh-CN"/>
        </w:rPr>
      </w:pPr>
    </w:p>
    <w:p w14:paraId="5B3A05F3">
      <w:pPr>
        <w:pStyle w:val="36"/>
        <w:bidi w:val="0"/>
        <w:rPr>
          <w:rFonts w:hint="eastAsia"/>
          <w:lang w:val="en-US" w:eastAsia="zh-CN"/>
        </w:rPr>
      </w:pPr>
      <w:bookmarkStart w:id="83" w:name="_Toc13729"/>
      <w:r>
        <w:rPr>
          <w:rFonts w:hint="eastAsia"/>
          <w:lang w:val="en-US" w:eastAsia="zh-CN"/>
        </w:rPr>
        <w:t>5.4 实习实训</w:t>
      </w:r>
      <w:bookmarkEnd w:id="83"/>
    </w:p>
    <w:p w14:paraId="08513664">
      <w:pPr>
        <w:pStyle w:val="16"/>
        <w:rPr>
          <w:rFonts w:hint="default"/>
          <w:lang w:val="en-US" w:eastAsia="zh-CN"/>
        </w:rPr>
      </w:pPr>
      <w:r>
        <w:rPr>
          <w:rFonts w:hint="eastAsia"/>
          <w:lang w:val="en-US" w:eastAsia="zh-CN"/>
        </w:rPr>
        <w:t>各中职学校从深入贯彻落实教育部等八部委《职业学校学生实习管理规定》，尤其是对1个“严禁”、27个“不得”，坚决做到不容忍、不姑息。坚持在校学习5个学期、一个学期赴企业岗位实习的教育模式。通过工学结合、订单培养等多种形式，积极稳妥地安排实习生到企业参加岗位实习，取得显著成效。</w:t>
      </w:r>
    </w:p>
    <w:p w14:paraId="5A2ED6A5">
      <w:pPr>
        <w:pStyle w:val="16"/>
        <w:rPr>
          <w:rFonts w:hint="default"/>
          <w:lang w:val="en-US" w:eastAsia="zh-CN"/>
        </w:rPr>
      </w:pPr>
      <w:r>
        <w:rPr>
          <w:rFonts w:hint="default"/>
          <w:lang w:val="en-US" w:eastAsia="zh-CN"/>
        </w:rPr>
        <w:t>为更好地了解学生实习情况并提供服务，</w:t>
      </w:r>
      <w:r>
        <w:rPr>
          <w:rFonts w:hint="eastAsia"/>
          <w:lang w:val="en-US" w:eastAsia="zh-CN"/>
        </w:rPr>
        <w:t>各中职</w:t>
      </w:r>
      <w:r>
        <w:rPr>
          <w:rFonts w:hint="default"/>
          <w:lang w:val="en-US" w:eastAsia="zh-CN"/>
        </w:rPr>
        <w:t>学校建立了学生实习跟踪服务机制</w:t>
      </w:r>
      <w:r>
        <w:rPr>
          <w:rFonts w:hint="eastAsia"/>
          <w:lang w:val="en-US" w:eastAsia="zh-CN"/>
        </w:rPr>
        <w:t>，</w:t>
      </w:r>
      <w:r>
        <w:rPr>
          <w:rFonts w:hint="default"/>
          <w:lang w:val="en-US" w:eastAsia="zh-CN"/>
        </w:rPr>
        <w:t>为每个学生建立实习档案，记录学生的实习情况、表现和评估结果</w:t>
      </w:r>
      <w:r>
        <w:rPr>
          <w:rFonts w:hint="eastAsia"/>
          <w:lang w:val="en-US" w:eastAsia="zh-CN"/>
        </w:rPr>
        <w:t>，</w:t>
      </w:r>
      <w:r>
        <w:rPr>
          <w:rFonts w:hint="default"/>
          <w:lang w:val="en-US" w:eastAsia="zh-CN"/>
        </w:rPr>
        <w:t>定期回访企业和学生，了解学生的实习情况和生活状况，提供必要的帮助和支持</w:t>
      </w:r>
      <w:r>
        <w:rPr>
          <w:rFonts w:hint="eastAsia"/>
          <w:lang w:val="en-US" w:eastAsia="zh-CN"/>
        </w:rPr>
        <w:t>。</w:t>
      </w:r>
      <w:r>
        <w:rPr>
          <w:rFonts w:hint="default"/>
          <w:lang w:val="en-US" w:eastAsia="zh-CN"/>
        </w:rPr>
        <w:t>对于学生在实习中遇到的问题，及时与企业沟通协调，帮助解决问题</w:t>
      </w:r>
      <w:r>
        <w:rPr>
          <w:rFonts w:hint="eastAsia"/>
          <w:lang w:val="en-US" w:eastAsia="zh-CN"/>
        </w:rPr>
        <w:t>，</w:t>
      </w:r>
      <w:r>
        <w:rPr>
          <w:rFonts w:hint="default"/>
          <w:lang w:val="en-US" w:eastAsia="zh-CN"/>
        </w:rPr>
        <w:t>确保学生能够通过实习获得宝贵的实践经验和职业发展机会。</w:t>
      </w:r>
    </w:p>
    <w:p w14:paraId="1B55EBE3">
      <w:pPr>
        <w:pStyle w:val="16"/>
        <w:rPr>
          <w:rFonts w:hint="default"/>
          <w:lang w:val="en-US" w:eastAsia="zh-CN"/>
        </w:rPr>
      </w:pPr>
      <w:r>
        <w:rPr>
          <w:rFonts w:hint="eastAsia"/>
          <w:lang w:val="en-US" w:eastAsia="zh-CN"/>
        </w:rPr>
        <w:t>尤其是本年度江西智慧教育平台－实习管理子平台的全面投入使用，为全市中职学校规范化实习管理提供了机制保障。</w:t>
      </w:r>
    </w:p>
    <w:p w14:paraId="381CB7BB">
      <w:pPr>
        <w:pStyle w:val="16"/>
        <w:ind w:left="0" w:leftChars="0" w:firstLine="0" w:firstLineChars="0"/>
        <w:jc w:val="center"/>
        <w:rPr>
          <w:rFonts w:hint="eastAsia"/>
          <w:vertAlign w:val="baseline"/>
          <w:lang w:val="en-US" w:eastAsia="zh-CN"/>
        </w:rPr>
      </w:pPr>
      <w:r>
        <w:rPr>
          <w:rFonts w:hint="eastAsia"/>
          <w:vertAlign w:val="baseline"/>
          <w:lang w:val="en-US" w:eastAsia="zh-CN"/>
        </w:rPr>
        <w:drawing>
          <wp:inline distT="0" distB="0" distL="114300" distR="114300">
            <wp:extent cx="5219700" cy="3338195"/>
            <wp:effectExtent l="0" t="0" r="0" b="14605"/>
            <wp:docPr id="88" name="图片 88" descr="8ef797e340bb72754575afc73ba24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8ef797e340bb72754575afc73ba24d8"/>
                    <pic:cNvPicPr>
                      <a:picLocks noChangeAspect="1"/>
                    </pic:cNvPicPr>
                  </pic:nvPicPr>
                  <pic:blipFill>
                    <a:blip r:embed="rId22"/>
                    <a:stretch>
                      <a:fillRect/>
                    </a:stretch>
                  </pic:blipFill>
                  <pic:spPr>
                    <a:xfrm>
                      <a:off x="0" y="0"/>
                      <a:ext cx="5219700" cy="3338195"/>
                    </a:xfrm>
                    <a:prstGeom prst="rect">
                      <a:avLst/>
                    </a:prstGeom>
                  </pic:spPr>
                </pic:pic>
              </a:graphicData>
            </a:graphic>
          </wp:inline>
        </w:drawing>
      </w:r>
    </w:p>
    <w:p w14:paraId="701D9E3D">
      <w:pPr>
        <w:pStyle w:val="40"/>
        <w:bidi w:val="0"/>
        <w:rPr>
          <w:rFonts w:hint="eastAsia"/>
          <w:lang w:val="en-US" w:eastAsia="zh-CN"/>
        </w:rPr>
      </w:pPr>
      <w:bookmarkStart w:id="84" w:name="_Toc7515"/>
      <w:r>
        <w:rPr>
          <w:rFonts w:hint="eastAsia"/>
          <w:lang w:val="en-US" w:eastAsia="zh-CN"/>
        </w:rPr>
        <w:t>图10：南昌铁路保安学校轨道实训基地</w:t>
      </w:r>
      <w:bookmarkEnd w:id="84"/>
    </w:p>
    <w:p w14:paraId="7FCD79D0">
      <w:pPr>
        <w:pStyle w:val="16"/>
        <w:rPr>
          <w:rFonts w:hint="default"/>
          <w:lang w:val="en-US" w:eastAsia="zh-CN"/>
        </w:rPr>
      </w:pPr>
    </w:p>
    <w:p w14:paraId="3199CA99">
      <w:pPr>
        <w:pStyle w:val="16"/>
        <w:ind w:left="0" w:leftChars="0" w:firstLine="0" w:firstLineChars="0"/>
        <w:jc w:val="center"/>
        <w:rPr>
          <w:position w:val="-83"/>
          <w:lang w:eastAsia="zh-CN"/>
        </w:rPr>
      </w:pPr>
      <w:r>
        <w:rPr>
          <w:rFonts w:hint="eastAsia" w:ascii="仿宋" w:hAnsi="仿宋" w:eastAsia="仿宋" w:cs="仿宋"/>
          <w:kern w:val="0"/>
          <w:sz w:val="30"/>
          <w:szCs w:val="30"/>
          <w:lang w:eastAsia="zh-CN"/>
        </w:rPr>
        <w:drawing>
          <wp:inline distT="0" distB="0" distL="114300" distR="114300">
            <wp:extent cx="5219700" cy="2927985"/>
            <wp:effectExtent l="0" t="0" r="0" b="5715"/>
            <wp:docPr id="53" name="图片 53" descr="微信图片_20241216110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微信图片_20241216110549"/>
                    <pic:cNvPicPr>
                      <a:picLocks noChangeAspect="1"/>
                    </pic:cNvPicPr>
                  </pic:nvPicPr>
                  <pic:blipFill>
                    <a:blip r:embed="rId23"/>
                    <a:stretch>
                      <a:fillRect/>
                    </a:stretch>
                  </pic:blipFill>
                  <pic:spPr>
                    <a:xfrm>
                      <a:off x="0" y="0"/>
                      <a:ext cx="5219700" cy="2927985"/>
                    </a:xfrm>
                    <a:prstGeom prst="rect">
                      <a:avLst/>
                    </a:prstGeom>
                  </pic:spPr>
                </pic:pic>
              </a:graphicData>
            </a:graphic>
          </wp:inline>
        </w:drawing>
      </w:r>
    </w:p>
    <w:p w14:paraId="514152A5">
      <w:pPr>
        <w:pStyle w:val="40"/>
        <w:bidi w:val="0"/>
        <w:rPr>
          <w:rFonts w:hint="eastAsia"/>
          <w:lang w:val="en-US" w:eastAsia="zh-CN"/>
        </w:rPr>
      </w:pPr>
      <w:bookmarkStart w:id="85" w:name="_Toc28711"/>
      <w:r>
        <w:rPr>
          <w:rFonts w:hint="eastAsia"/>
          <w:lang w:val="en-US" w:eastAsia="zh-CN"/>
        </w:rPr>
        <w:t>图11：共青中医药专业实训室</w:t>
      </w:r>
      <w:bookmarkEnd w:id="85"/>
    </w:p>
    <w:p w14:paraId="359DAC81">
      <w:pPr>
        <w:pStyle w:val="16"/>
        <w:rPr>
          <w:rFonts w:hint="default"/>
          <w:lang w:val="en-US" w:eastAsia="zh-CN"/>
        </w:rPr>
      </w:pPr>
    </w:p>
    <w:p w14:paraId="22811E65">
      <w:pPr>
        <w:pStyle w:val="16"/>
        <w:rPr>
          <w:rFonts w:hint="eastAsia"/>
          <w:lang w:val="en-US" w:eastAsia="zh-CN"/>
        </w:rPr>
      </w:pPr>
      <w:r>
        <w:rPr>
          <w:rFonts w:hint="eastAsia"/>
          <w:lang w:val="en-US" w:eastAsia="zh-CN"/>
        </w:rPr>
        <w:t>本年度各中职学校在实习管理工作中共投入126.95万元专项经费，其中实习责任保险经费16.27万元。</w:t>
      </w:r>
    </w:p>
    <w:p w14:paraId="7D40F889">
      <w:pPr>
        <w:pStyle w:val="16"/>
        <w:rPr>
          <w:rFonts w:hint="default"/>
          <w:lang w:val="en-US" w:eastAsia="zh-CN"/>
        </w:rPr>
      </w:pPr>
      <w:r>
        <w:rPr>
          <w:rFonts w:hint="eastAsia"/>
          <w:lang w:val="en-US" w:eastAsia="zh-CN"/>
        </w:rPr>
        <w:t>本年度</w:t>
      </w:r>
      <w:r>
        <w:rPr>
          <w:rFonts w:hint="default"/>
          <w:lang w:val="en-US" w:eastAsia="zh-CN"/>
        </w:rPr>
        <w:t>各中职学校合计校内工位数</w:t>
      </w:r>
      <w:r>
        <w:rPr>
          <w:rFonts w:hint="eastAsia"/>
          <w:lang w:val="en-US" w:eastAsia="zh-CN"/>
        </w:rPr>
        <w:t>5.48</w:t>
      </w:r>
      <w:r>
        <w:rPr>
          <w:rFonts w:hint="default"/>
          <w:lang w:val="en-US" w:eastAsia="zh-CN"/>
        </w:rPr>
        <w:t>万个，生均校内实践教学工位</w:t>
      </w:r>
      <w:r>
        <w:rPr>
          <w:rFonts w:hint="eastAsia"/>
          <w:lang w:val="en-US" w:eastAsia="zh-CN"/>
        </w:rPr>
        <w:t>1.35</w:t>
      </w:r>
      <w:r>
        <w:rPr>
          <w:rFonts w:hint="default"/>
          <w:lang w:val="en-US" w:eastAsia="zh-CN"/>
        </w:rPr>
        <w:t>个。</w:t>
      </w:r>
    </w:p>
    <w:p w14:paraId="3254DE41">
      <w:pPr>
        <w:rPr>
          <w:rFonts w:hint="default"/>
          <w:lang w:val="en-US" w:eastAsia="zh-CN"/>
        </w:rPr>
      </w:pPr>
      <w:r>
        <w:rPr>
          <w:rFonts w:hint="default"/>
          <w:lang w:val="en-US" w:eastAsia="zh-CN"/>
        </w:rPr>
        <w:br w:type="page"/>
      </w:r>
    </w:p>
    <w:p w14:paraId="1E75726C">
      <w:pPr>
        <w:pStyle w:val="15"/>
        <w:numPr>
          <w:ilvl w:val="0"/>
          <w:numId w:val="0"/>
        </w:numPr>
        <w:bidi w:val="0"/>
        <w:ind w:left="0" w:leftChars="0" w:firstLine="640" w:firstLineChars="200"/>
        <w:rPr>
          <w:rFonts w:hint="eastAsia"/>
          <w:lang w:val="en-US" w:eastAsia="zh-CN"/>
        </w:rPr>
      </w:pPr>
      <w:bookmarkStart w:id="86" w:name="_Toc14704"/>
      <w:bookmarkStart w:id="87" w:name="_Toc9651"/>
      <w:r>
        <w:rPr>
          <w:rFonts w:hint="eastAsia"/>
          <w:lang w:val="en-US" w:eastAsia="zh-CN"/>
        </w:rPr>
        <w:t>6 发展保障</w:t>
      </w:r>
      <w:bookmarkEnd w:id="86"/>
      <w:bookmarkEnd w:id="87"/>
    </w:p>
    <w:p w14:paraId="278B1EB5">
      <w:pPr>
        <w:pStyle w:val="36"/>
        <w:bidi w:val="0"/>
        <w:rPr>
          <w:rFonts w:hint="default"/>
          <w:lang w:val="en-US" w:eastAsia="zh-CN"/>
        </w:rPr>
      </w:pPr>
      <w:bookmarkStart w:id="88" w:name="_Toc28519"/>
      <w:bookmarkStart w:id="89" w:name="_Toc21463"/>
      <w:r>
        <w:rPr>
          <w:rFonts w:hint="eastAsia"/>
          <w:lang w:val="en-US" w:eastAsia="zh-CN"/>
        </w:rPr>
        <w:t>6</w:t>
      </w:r>
      <w:r>
        <w:rPr>
          <w:rFonts w:hint="default"/>
          <w:lang w:val="en-US" w:eastAsia="zh-CN"/>
        </w:rPr>
        <w:t>.1</w:t>
      </w:r>
      <w:r>
        <w:rPr>
          <w:rFonts w:hint="eastAsia"/>
          <w:lang w:val="en-US" w:eastAsia="zh-CN"/>
        </w:rPr>
        <w:t xml:space="preserve"> </w:t>
      </w:r>
      <w:r>
        <w:rPr>
          <w:rFonts w:hint="default"/>
          <w:lang w:val="en-US" w:eastAsia="zh-CN"/>
        </w:rPr>
        <w:t>党建引领</w:t>
      </w:r>
      <w:bookmarkEnd w:id="88"/>
      <w:bookmarkEnd w:id="89"/>
    </w:p>
    <w:p w14:paraId="26C3D755">
      <w:pPr>
        <w:pStyle w:val="16"/>
        <w:rPr>
          <w:rFonts w:hint="default"/>
          <w:lang w:val="en-US" w:eastAsia="zh-CN"/>
        </w:rPr>
      </w:pPr>
      <w:r>
        <w:rPr>
          <w:rFonts w:hint="eastAsia"/>
          <w:lang w:val="en-US" w:eastAsia="zh-CN"/>
        </w:rPr>
        <w:t>各中职学校</w:t>
      </w:r>
      <w:r>
        <w:rPr>
          <w:rFonts w:hint="default"/>
          <w:lang w:val="en-US" w:eastAsia="zh-CN"/>
        </w:rPr>
        <w:t>以习近平新时代中国特色社会主义思想为指引，牢牢把握新时代党的建设总要求，以“大党建”思维，统领学校教育教学全过程</w:t>
      </w:r>
      <w:r>
        <w:rPr>
          <w:rFonts w:hint="eastAsia"/>
          <w:lang w:val="en-US" w:eastAsia="zh-CN"/>
        </w:rPr>
        <w:t>，</w:t>
      </w:r>
      <w:r>
        <w:rPr>
          <w:rFonts w:hint="default"/>
          <w:lang w:val="en-US" w:eastAsia="zh-CN"/>
        </w:rPr>
        <w:t>聚焦“学思想、强党性、重实践、建新功”目标要求</w:t>
      </w:r>
      <w:r>
        <w:rPr>
          <w:rFonts w:hint="eastAsia"/>
          <w:lang w:val="en-US" w:eastAsia="zh-CN"/>
        </w:rPr>
        <w:t>，</w:t>
      </w:r>
      <w:r>
        <w:rPr>
          <w:rFonts w:hint="default"/>
          <w:lang w:val="en-US" w:eastAsia="zh-CN"/>
        </w:rPr>
        <w:t>把学习习近平新时代中国特色社会主义思想转化为坚定理想、锤炼党性、指导实践、推动工作的强大力量，</w:t>
      </w:r>
      <w:r>
        <w:rPr>
          <w:rFonts w:hint="eastAsia"/>
          <w:lang w:val="en-US" w:eastAsia="zh-CN"/>
        </w:rPr>
        <w:t>深入开展</w:t>
      </w:r>
      <w:r>
        <w:rPr>
          <w:rFonts w:hint="default"/>
          <w:lang w:val="en-US" w:eastAsia="zh-CN"/>
        </w:rPr>
        <w:t>学习贯彻习近平新时代中国特色社会主义思想主题教育。</w:t>
      </w:r>
    </w:p>
    <w:p w14:paraId="14BB5CE4">
      <w:pPr>
        <w:pStyle w:val="37"/>
        <w:bidi w:val="0"/>
        <w:ind w:left="0" w:leftChars="0" w:firstLine="0" w:firstLineChars="0"/>
        <w:outlineLvl w:val="0"/>
        <w:rPr>
          <w:rFonts w:hint="default"/>
          <w:lang w:val="en-US" w:eastAsia="zh-CN"/>
        </w:rPr>
      </w:pPr>
      <w:bookmarkStart w:id="90" w:name="_Toc4415"/>
      <w:r>
        <w:rPr>
          <w:rFonts w:hint="default"/>
          <w:lang w:val="en-US" w:eastAsia="zh-CN"/>
        </w:rPr>
        <w:t>案例</w:t>
      </w:r>
      <w:r>
        <w:rPr>
          <w:rFonts w:hint="eastAsia"/>
          <w:lang w:val="en-US" w:eastAsia="zh-CN"/>
        </w:rPr>
        <w:t>13</w:t>
      </w:r>
      <w:r>
        <w:rPr>
          <w:rFonts w:hint="default"/>
          <w:lang w:val="en-US" w:eastAsia="zh-CN"/>
        </w:rPr>
        <w:t>：</w:t>
      </w:r>
      <w:r>
        <w:rPr>
          <w:rFonts w:hint="eastAsia"/>
          <w:lang w:val="en-US" w:eastAsia="zh-CN"/>
        </w:rPr>
        <w:t>修水中专充分发挥党建引领作用</w:t>
      </w:r>
      <w:bookmarkEnd w:id="90"/>
    </w:p>
    <w:p w14:paraId="3DD057CC">
      <w:pPr>
        <w:pStyle w:val="39"/>
        <w:bidi w:val="0"/>
        <w:rPr>
          <w:rFonts w:hint="eastAsia"/>
          <w:lang w:val="en-US" w:eastAsia="zh-CN"/>
        </w:rPr>
      </w:pPr>
      <w:r>
        <w:rPr>
          <w:rFonts w:hint="default"/>
          <w:lang w:val="en-US" w:eastAsia="zh-CN"/>
        </w:rPr>
        <w:t>学校现设党总支，委员7人，书记1人，副书记1人，下设教工支部和老干支部。教工支部有党员56人，男性29人，女性27人；30岁及30岁以下的7人，31岁至50岁的37人，51岁及以上的12人；本科学历50人，研究生学历6人；担任班主任的党员有21人，担任学校行政干部的党员有27人。在新时代的征程中，学校始终坚持以党建为引领，不断探索和创新党建工作模式，将党的建设与职业教育深度融合，形成了独具特色的党建文化，2024学年，学校教工党支部凭借扎实有效的党建工作，成功获得“先进基层党组织”荣誉称号</w:t>
      </w:r>
      <w:r>
        <w:rPr>
          <w:rFonts w:hint="eastAsia"/>
          <w:lang w:val="en-US" w:eastAsia="zh-CN"/>
        </w:rPr>
        <w:t>。</w:t>
      </w:r>
    </w:p>
    <w:p w14:paraId="62DDD28C">
      <w:pPr>
        <w:pStyle w:val="39"/>
        <w:bidi w:val="0"/>
        <w:rPr>
          <w:rFonts w:hint="default"/>
          <w:lang w:val="en-US" w:eastAsia="zh-CN"/>
        </w:rPr>
      </w:pPr>
      <w:r>
        <w:rPr>
          <w:rFonts w:hint="default"/>
          <w:lang w:val="en-US" w:eastAsia="zh-CN"/>
        </w:rPr>
        <w:t>学校高度重视政治学习，定期开展形式多样的学习活动，以确保党员教师能够深入理解和贯彻党的方针政策。一方面，通过集中授课、会议学习、领导专题讲解和专家特邀讲座等形式，组织党员教师系统学习党的理论知识，包括党的最新会议精神、重要文件解读等，提升党员教师思想觉悟和理论水平。一方面不断丰富学习内容，学习资源涵盖党的二十大、二十届三中全会的会议精神，深入解读《中国共产党纪律处分条例》，以及习近平总书记关于党纪学习教育、整治形式主义官僚主义的重要讲话和指示批示精神，同时学校党总支还特别关注职业教育领域的最新政策导向，引导党员教师将党的理论与教育教学实践相结合，发挥先锋模范作用，积极投身学校的改革发展之中。</w:t>
      </w:r>
    </w:p>
    <w:p w14:paraId="4AFA8430">
      <w:pPr>
        <w:pStyle w:val="39"/>
        <w:bidi w:val="0"/>
        <w:rPr>
          <w:rFonts w:hint="default"/>
          <w:lang w:val="en-US" w:eastAsia="zh-CN"/>
        </w:rPr>
      </w:pPr>
    </w:p>
    <w:p w14:paraId="094D62DF">
      <w:pPr>
        <w:pStyle w:val="16"/>
        <w:rPr>
          <w:rFonts w:hint="eastAsia"/>
          <w:lang w:val="en-US" w:eastAsia="zh-CN"/>
        </w:rPr>
      </w:pPr>
      <w:r>
        <w:rPr>
          <w:rFonts w:hint="eastAsia"/>
          <w:lang w:val="en-US" w:eastAsia="zh-CN"/>
        </w:rPr>
        <w:t>各中职学校坚持党建引领学生发展，通过确立党建促团建的工作思路，牢牢把握立德树人根本任务，充分发挥共青团育人优势，认真组织、扎实推进，广大党员干部在党建促团建示范引领活动中，起到了良好的带头作用。</w:t>
      </w:r>
    </w:p>
    <w:p w14:paraId="76D73592">
      <w:pPr>
        <w:pStyle w:val="16"/>
        <w:rPr>
          <w:rFonts w:hint="eastAsia"/>
          <w:lang w:val="en-US" w:eastAsia="zh-CN"/>
        </w:rPr>
      </w:pPr>
    </w:p>
    <w:p w14:paraId="6EF2A9C7">
      <w:pPr>
        <w:pStyle w:val="16"/>
        <w:ind w:left="0" w:leftChars="0" w:firstLine="0" w:firstLineChars="0"/>
        <w:jc w:val="center"/>
        <w:rPr>
          <w:rFonts w:hint="eastAsia"/>
          <w:lang w:val="en-US" w:eastAsia="zh-CN"/>
        </w:rPr>
      </w:pPr>
      <w:r>
        <w:rPr>
          <w:rFonts w:hint="eastAsia" w:eastAsiaTheme="minorEastAsia"/>
          <w:lang w:eastAsia="zh-CN"/>
        </w:rPr>
        <w:drawing>
          <wp:inline distT="0" distB="0" distL="114300" distR="114300">
            <wp:extent cx="5219700" cy="3914140"/>
            <wp:effectExtent l="0" t="0" r="0" b="10160"/>
            <wp:docPr id="11" name="图片 11" descr="主题党日活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主题党日活动1"/>
                    <pic:cNvPicPr>
                      <a:picLocks noChangeAspect="1"/>
                    </pic:cNvPicPr>
                  </pic:nvPicPr>
                  <pic:blipFill>
                    <a:blip r:embed="rId24"/>
                    <a:stretch>
                      <a:fillRect/>
                    </a:stretch>
                  </pic:blipFill>
                  <pic:spPr>
                    <a:xfrm>
                      <a:off x="0" y="0"/>
                      <a:ext cx="5219700" cy="3914140"/>
                    </a:xfrm>
                    <a:prstGeom prst="rect">
                      <a:avLst/>
                    </a:prstGeom>
                  </pic:spPr>
                </pic:pic>
              </a:graphicData>
            </a:graphic>
          </wp:inline>
        </w:drawing>
      </w:r>
    </w:p>
    <w:p w14:paraId="64450E7B">
      <w:pPr>
        <w:pStyle w:val="40"/>
        <w:bidi w:val="0"/>
        <w:rPr>
          <w:rFonts w:hint="eastAsia"/>
          <w:lang w:val="en-US" w:eastAsia="zh-CN"/>
        </w:rPr>
      </w:pPr>
      <w:bookmarkStart w:id="91" w:name="_Toc24584"/>
      <w:r>
        <w:rPr>
          <w:rFonts w:hint="eastAsia"/>
          <w:lang w:val="en-US" w:eastAsia="zh-CN"/>
        </w:rPr>
        <w:t>图12：九江理工开展主题党日活动</w:t>
      </w:r>
      <w:bookmarkEnd w:id="91"/>
    </w:p>
    <w:p w14:paraId="10BFB2B6">
      <w:pPr>
        <w:pStyle w:val="16"/>
        <w:rPr>
          <w:rFonts w:hint="eastAsia"/>
          <w:lang w:val="en-US" w:eastAsia="zh-CN"/>
        </w:rPr>
      </w:pPr>
    </w:p>
    <w:p w14:paraId="273E5B1E">
      <w:pPr>
        <w:pStyle w:val="16"/>
        <w:rPr>
          <w:rFonts w:hint="eastAsia"/>
          <w:lang w:val="en-US" w:eastAsia="zh-CN"/>
        </w:rPr>
      </w:pPr>
    </w:p>
    <w:p w14:paraId="5AE3D3EB">
      <w:pPr>
        <w:pStyle w:val="16"/>
        <w:rPr>
          <w:rFonts w:hint="eastAsia"/>
          <w:lang w:val="en-US" w:eastAsia="zh-CN"/>
        </w:rPr>
      </w:pPr>
    </w:p>
    <w:p w14:paraId="700B3101">
      <w:pPr>
        <w:pStyle w:val="16"/>
        <w:rPr>
          <w:rFonts w:hint="default"/>
          <w:lang w:val="en-US" w:eastAsia="zh-CN"/>
        </w:rPr>
      </w:pPr>
    </w:p>
    <w:p w14:paraId="69E8846E">
      <w:pPr>
        <w:pStyle w:val="36"/>
        <w:bidi w:val="0"/>
        <w:rPr>
          <w:rFonts w:hint="default"/>
          <w:lang w:val="en-US" w:eastAsia="zh-CN"/>
        </w:rPr>
      </w:pPr>
      <w:bookmarkStart w:id="92" w:name="_Toc4558"/>
      <w:r>
        <w:rPr>
          <w:rFonts w:hint="eastAsia"/>
          <w:lang w:val="en-US" w:eastAsia="zh-CN"/>
        </w:rPr>
        <w:t>6.2 经费投入</w:t>
      </w:r>
      <w:bookmarkEnd w:id="92"/>
    </w:p>
    <w:p w14:paraId="0C64260A">
      <w:pPr>
        <w:pStyle w:val="16"/>
        <w:rPr>
          <w:rFonts w:hint="default"/>
          <w:lang w:val="en-US" w:eastAsia="zh-CN"/>
        </w:rPr>
      </w:pPr>
      <w:r>
        <w:rPr>
          <w:rFonts w:hint="eastAsia"/>
          <w:lang w:val="en-US" w:eastAsia="zh-CN"/>
        </w:rPr>
        <w:t>2024</w:t>
      </w:r>
      <w:r>
        <w:rPr>
          <w:rFonts w:hint="default"/>
          <w:lang w:val="en-US" w:eastAsia="zh-CN"/>
        </w:rPr>
        <w:t>年全市中职学校共获财政拨款</w:t>
      </w:r>
      <w:r>
        <w:rPr>
          <w:rFonts w:hint="eastAsia"/>
          <w:lang w:val="en-US" w:eastAsia="zh-CN"/>
        </w:rPr>
        <w:t>21791.60</w:t>
      </w:r>
      <w:r>
        <w:rPr>
          <w:rFonts w:hint="default"/>
          <w:lang w:val="en-US" w:eastAsia="zh-CN"/>
        </w:rPr>
        <w:t>万元，</w:t>
      </w:r>
      <w:r>
        <w:rPr>
          <w:rFonts w:hint="eastAsia"/>
          <w:lang w:val="en-US" w:eastAsia="zh-CN"/>
        </w:rPr>
        <w:t>其中财政专项经费5.70万元，</w:t>
      </w:r>
      <w:r>
        <w:rPr>
          <w:rFonts w:hint="default"/>
          <w:lang w:val="en-US" w:eastAsia="zh-CN"/>
        </w:rPr>
        <w:t>接受企业捐赠设备总值</w:t>
      </w:r>
      <w:r>
        <w:rPr>
          <w:rFonts w:hint="eastAsia"/>
          <w:lang w:val="en-US" w:eastAsia="zh-CN"/>
        </w:rPr>
        <w:t>561.84</w:t>
      </w:r>
      <w:r>
        <w:rPr>
          <w:rFonts w:hint="default"/>
          <w:lang w:val="en-US" w:eastAsia="zh-CN"/>
        </w:rPr>
        <w:t>万元。</w:t>
      </w:r>
    </w:p>
    <w:p w14:paraId="778D2278">
      <w:pPr>
        <w:pStyle w:val="16"/>
        <w:rPr>
          <w:rFonts w:hint="default"/>
          <w:lang w:val="en-US" w:eastAsia="zh-CN"/>
        </w:rPr>
      </w:pPr>
      <w:r>
        <w:rPr>
          <w:rFonts w:hint="default"/>
          <w:lang w:val="en-US" w:eastAsia="zh-CN"/>
        </w:rPr>
        <w:t>学生资助方面，共免学费</w:t>
      </w:r>
      <w:r>
        <w:rPr>
          <w:rFonts w:hint="eastAsia"/>
          <w:lang w:val="en-US" w:eastAsia="zh-CN"/>
        </w:rPr>
        <w:t>7232.01</w:t>
      </w:r>
      <w:r>
        <w:rPr>
          <w:rFonts w:hint="default"/>
          <w:lang w:val="en-US" w:eastAsia="zh-CN"/>
        </w:rPr>
        <w:t>万元，为困难学生申请国家助学金</w:t>
      </w:r>
      <w:r>
        <w:rPr>
          <w:rFonts w:hint="eastAsia"/>
          <w:lang w:val="en-US" w:eastAsia="zh-CN"/>
        </w:rPr>
        <w:t>741.50</w:t>
      </w:r>
      <w:r>
        <w:rPr>
          <w:rFonts w:hint="default"/>
          <w:lang w:val="en-US" w:eastAsia="zh-CN"/>
        </w:rPr>
        <w:t>万元，发放社会助学金</w:t>
      </w:r>
      <w:r>
        <w:rPr>
          <w:rFonts w:hint="eastAsia"/>
          <w:lang w:val="en-US" w:eastAsia="zh-CN"/>
        </w:rPr>
        <w:t>31.59</w:t>
      </w:r>
      <w:r>
        <w:rPr>
          <w:rFonts w:hint="default"/>
          <w:lang w:val="en-US" w:eastAsia="zh-CN"/>
        </w:rPr>
        <w:t>万元、地方政府助学金</w:t>
      </w:r>
      <w:r>
        <w:rPr>
          <w:rFonts w:hint="eastAsia"/>
          <w:lang w:val="en-US" w:eastAsia="zh-CN"/>
        </w:rPr>
        <w:t>29.95</w:t>
      </w:r>
      <w:r>
        <w:rPr>
          <w:rFonts w:hint="default"/>
          <w:lang w:val="en-US" w:eastAsia="zh-CN"/>
        </w:rPr>
        <w:t>万元、学校助学金</w:t>
      </w:r>
      <w:r>
        <w:rPr>
          <w:rFonts w:hint="eastAsia"/>
          <w:lang w:val="en-US" w:eastAsia="zh-CN"/>
        </w:rPr>
        <w:t>72.37</w:t>
      </w:r>
      <w:r>
        <w:rPr>
          <w:rFonts w:hint="default"/>
          <w:lang w:val="en-US" w:eastAsia="zh-CN"/>
        </w:rPr>
        <w:t>万元。</w:t>
      </w:r>
    </w:p>
    <w:p w14:paraId="1011FF3E">
      <w:pPr>
        <w:pStyle w:val="16"/>
        <w:ind w:left="0" w:leftChars="0" w:firstLine="0" w:firstLineChars="0"/>
        <w:rPr>
          <w:rFonts w:ascii="Calibri" w:hAnsi="Calibri" w:eastAsia="宋体" w:cs="Times New Roman"/>
          <w:b/>
          <w:bCs/>
          <w:snapToGrid/>
          <w:kern w:val="2"/>
          <w:sz w:val="28"/>
          <w:szCs w:val="28"/>
          <w:lang w:eastAsia="zh-CN"/>
        </w:rPr>
      </w:pPr>
      <w:r>
        <w:rPr>
          <w:rFonts w:ascii="Calibri" w:hAnsi="Calibri" w:eastAsia="宋体" w:cs="Times New Roman"/>
          <w:b/>
          <w:bCs/>
          <w:snapToGrid/>
          <w:kern w:val="2"/>
          <w:sz w:val="28"/>
          <w:szCs w:val="28"/>
          <w:lang w:eastAsia="zh-CN"/>
        </w:rPr>
        <w:drawing>
          <wp:inline distT="0" distB="0" distL="114300" distR="114300">
            <wp:extent cx="5219700" cy="3917315"/>
            <wp:effectExtent l="0" t="0" r="0" b="6985"/>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25"/>
                    <a:stretch>
                      <a:fillRect/>
                    </a:stretch>
                  </pic:blipFill>
                  <pic:spPr>
                    <a:xfrm>
                      <a:off x="0" y="0"/>
                      <a:ext cx="5219700" cy="3917315"/>
                    </a:xfrm>
                    <a:prstGeom prst="rect">
                      <a:avLst/>
                    </a:prstGeom>
                    <a:noFill/>
                    <a:ln>
                      <a:noFill/>
                    </a:ln>
                  </pic:spPr>
                </pic:pic>
              </a:graphicData>
            </a:graphic>
          </wp:inline>
        </w:drawing>
      </w:r>
    </w:p>
    <w:p w14:paraId="04D8E19B">
      <w:pPr>
        <w:pStyle w:val="40"/>
        <w:bidi w:val="0"/>
        <w:rPr>
          <w:rFonts w:hint="default"/>
          <w:lang w:val="en-US" w:eastAsia="zh-CN"/>
        </w:rPr>
      </w:pPr>
      <w:bookmarkStart w:id="93" w:name="_Toc6472"/>
      <w:r>
        <w:rPr>
          <w:rFonts w:hint="eastAsia"/>
          <w:lang w:val="en-US" w:eastAsia="zh-CN"/>
        </w:rPr>
        <w:t>图13：永修中专开展家访工作</w:t>
      </w:r>
      <w:bookmarkEnd w:id="93"/>
    </w:p>
    <w:p w14:paraId="1B93F640">
      <w:pPr>
        <w:rPr>
          <w:rFonts w:hint="default"/>
          <w:lang w:val="en-US" w:eastAsia="zh-CN"/>
        </w:rPr>
      </w:pPr>
      <w:r>
        <w:rPr>
          <w:rFonts w:hint="default"/>
          <w:lang w:val="en-US" w:eastAsia="zh-CN"/>
        </w:rPr>
        <w:br w:type="page"/>
      </w:r>
    </w:p>
    <w:p w14:paraId="0A945D79">
      <w:pPr>
        <w:pStyle w:val="15"/>
        <w:numPr>
          <w:ilvl w:val="0"/>
          <w:numId w:val="0"/>
        </w:numPr>
        <w:bidi w:val="0"/>
        <w:ind w:left="0" w:leftChars="0" w:firstLine="640" w:firstLineChars="200"/>
        <w:rPr>
          <w:rFonts w:hint="eastAsia"/>
          <w:lang w:val="en-US" w:eastAsia="zh-CN"/>
        </w:rPr>
      </w:pPr>
      <w:bookmarkStart w:id="94" w:name="_Toc10708"/>
      <w:bookmarkStart w:id="95" w:name="_Toc29811"/>
      <w:r>
        <w:rPr>
          <w:rFonts w:hint="eastAsia"/>
          <w:lang w:val="en-US" w:eastAsia="zh-CN"/>
        </w:rPr>
        <w:t>7 面临挑战</w:t>
      </w:r>
      <w:bookmarkEnd w:id="94"/>
      <w:bookmarkEnd w:id="95"/>
    </w:p>
    <w:p w14:paraId="3967EC9C">
      <w:pPr>
        <w:pStyle w:val="36"/>
        <w:bidi w:val="0"/>
        <w:rPr>
          <w:rFonts w:hint="eastAsia"/>
          <w:lang w:val="en-US" w:eastAsia="zh-CN"/>
        </w:rPr>
      </w:pPr>
      <w:bookmarkStart w:id="96" w:name="_Toc21971"/>
      <w:r>
        <w:rPr>
          <w:rFonts w:hint="eastAsia"/>
          <w:lang w:val="en-US" w:eastAsia="zh-CN"/>
        </w:rPr>
        <w:t>7.1 内在能力仍需提高</w:t>
      </w:r>
      <w:bookmarkEnd w:id="96"/>
    </w:p>
    <w:p w14:paraId="1746F2D4">
      <w:pPr>
        <w:pStyle w:val="16"/>
        <w:rPr>
          <w:rFonts w:hint="default"/>
          <w:lang w:val="en-US" w:eastAsia="zh-CN"/>
        </w:rPr>
      </w:pPr>
      <w:r>
        <w:rPr>
          <w:rFonts w:hint="default"/>
          <w:lang w:val="en-US" w:eastAsia="zh-CN"/>
        </w:rPr>
        <w:t>当前，职业教育仍被广泛视为相较于基础教育和普通高等教育的次优选择，这导致了职业教育在生源质量上不如普通教育体系，从而形成了一个非良性循环。同时，业界普遍认为，由于实习实训设备的购买及更新需要显著的资金投入，职业教育尤其是理工科专业的生均投资需达到同级普通教育的3倍，这一需求对地方财政构成较大压力。面对这些挑战，职业院校必须着力加强自身的教学能力并增强与企业的联系，提升学校服务社会经济的能力和毕业生就业率，同时积极寻求更多的社会力量支持职业教育的发展。</w:t>
      </w:r>
    </w:p>
    <w:p w14:paraId="547D6219">
      <w:pPr>
        <w:pStyle w:val="36"/>
        <w:bidi w:val="0"/>
        <w:rPr>
          <w:rFonts w:hint="eastAsia"/>
          <w:lang w:val="en-US" w:eastAsia="zh-CN"/>
        </w:rPr>
      </w:pPr>
      <w:bookmarkStart w:id="97" w:name="_Toc14582"/>
      <w:r>
        <w:rPr>
          <w:rFonts w:hint="eastAsia"/>
          <w:lang w:val="en-US" w:eastAsia="zh-CN"/>
        </w:rPr>
        <w:t>7.2 教师队伍仍需巩固</w:t>
      </w:r>
      <w:bookmarkEnd w:id="97"/>
    </w:p>
    <w:p w14:paraId="6E5D53F8">
      <w:pPr>
        <w:pStyle w:val="16"/>
        <w:rPr>
          <w:rFonts w:hint="eastAsia"/>
          <w:lang w:val="en-US" w:eastAsia="zh-CN"/>
        </w:rPr>
      </w:pPr>
      <w:r>
        <w:rPr>
          <w:rFonts w:hint="eastAsia"/>
          <w:lang w:val="en-US" w:eastAsia="zh-CN"/>
        </w:rPr>
        <w:t>教育部会同国家发展改革委、财政部、人力资源和社会保障部、住房和城乡建设部，制定并印发的《职业学校办学条件达标工程实施方案》（教职成〔2022〕5号）要求中职学校、技工学校生师比达到20:1。</w:t>
      </w:r>
    </w:p>
    <w:p w14:paraId="2C16C8CC">
      <w:pPr>
        <w:pStyle w:val="16"/>
        <w:rPr>
          <w:rFonts w:hint="eastAsia"/>
          <w:lang w:val="en-US" w:eastAsia="zh-CN"/>
        </w:rPr>
      </w:pPr>
      <w:r>
        <w:rPr>
          <w:rFonts w:hint="eastAsia"/>
          <w:lang w:val="en-US" w:eastAsia="zh-CN"/>
        </w:rPr>
        <w:t>目前，我市管理的公办中职学校共有学生41807人（其中教育系统中职学校31382人，人社系统技工学校10425人，技工学校生师比标准同为20:1），全市共有中职教师编制1211个（其中教育系统中职学校1144个，人社系统技工学校67个，“一校双挂牌”学校合并统计），生员比为34.52:1。</w:t>
      </w:r>
    </w:p>
    <w:p w14:paraId="1843DDF9">
      <w:pPr>
        <w:pStyle w:val="16"/>
        <w:rPr>
          <w:rFonts w:hint="eastAsia"/>
          <w:lang w:val="en-US" w:eastAsia="zh-CN"/>
        </w:rPr>
      </w:pPr>
      <w:r>
        <w:rPr>
          <w:rFonts w:hint="eastAsia"/>
          <w:lang w:val="en-US" w:eastAsia="zh-CN"/>
        </w:rPr>
        <w:t>为满足达标条件，公办中职学校普遍通过自筹资金聘用合同制教师。因资金缺口较大，部分学校（尤其是在校生数多的优质中职学校）存在拖欠教职工工资的情况。</w:t>
      </w:r>
    </w:p>
    <w:p w14:paraId="6C949487">
      <w:pPr>
        <w:pStyle w:val="36"/>
        <w:bidi w:val="0"/>
        <w:rPr>
          <w:rFonts w:hint="eastAsia"/>
          <w:lang w:val="en-US" w:eastAsia="zh-CN"/>
        </w:rPr>
      </w:pPr>
      <w:bookmarkStart w:id="98" w:name="_Toc20532"/>
      <w:r>
        <w:rPr>
          <w:rFonts w:hint="eastAsia"/>
          <w:lang w:val="en-US" w:eastAsia="zh-CN"/>
        </w:rPr>
        <w:t>7.3 涉农专业扶持</w:t>
      </w:r>
      <w:r>
        <w:rPr>
          <w:rFonts w:hint="eastAsia" w:cs="Times New Roman"/>
          <w:lang w:val="en-US" w:eastAsia="zh-CN"/>
        </w:rPr>
        <w:t>力度</w:t>
      </w:r>
      <w:r>
        <w:rPr>
          <w:rFonts w:hint="eastAsia"/>
          <w:lang w:val="en-US" w:eastAsia="zh-CN"/>
        </w:rPr>
        <w:t>有待加强</w:t>
      </w:r>
      <w:bookmarkEnd w:id="98"/>
    </w:p>
    <w:p w14:paraId="77BB18D8">
      <w:pPr>
        <w:pStyle w:val="16"/>
        <w:rPr>
          <w:rFonts w:hint="default"/>
          <w:lang w:val="en-US" w:eastAsia="zh-CN"/>
        </w:rPr>
      </w:pPr>
      <w:r>
        <w:rPr>
          <w:rFonts w:hint="default"/>
          <w:lang w:val="en-US" w:eastAsia="zh-CN"/>
        </w:rPr>
        <w:t>目前对学生就读农林牧渔大类专业的主要激励手段，为与农村户口中职生相同的免收学费（由财政补助）。2024年，九江市中职学校在校生中农村户口的占比为79.94%，作为涉农专业主力的县域中职学校，学生农村户口占比更是达到86.18%。单纯的免除学费政策对于农村户口学生就读涉农专业的吸引力并没有边际提升。目前，江西省公办普通中专包含涉农专业的理工类专业学生学费为2500元/学年/生（职业高中略低于该标准），而随着居民生活水平的提升，免除学费的吸引力也随之相对降低。</w:t>
      </w:r>
    </w:p>
    <w:p w14:paraId="2C0A813C">
      <w:pPr>
        <w:pStyle w:val="16"/>
        <w:rPr>
          <w:rFonts w:hint="default"/>
          <w:lang w:val="en-US" w:eastAsia="zh-CN"/>
        </w:rPr>
      </w:pPr>
      <w:r>
        <w:rPr>
          <w:rFonts w:hint="default"/>
          <w:lang w:val="en-US" w:eastAsia="zh-CN"/>
        </w:rPr>
        <w:t>为了规范中职学校的专业建设，引导学校走特色化办学道路，江西省根据学校分级评定的等级，对中职学校专业设置的数量进行了限制。县域中职学校往往因为仅能评为C档，所开设专业大类不能超过3个。然而，一个典型的县域中职学校在专业设置中，一般会优先设置满足学生升学需求的电子信息大类专业、设置服务地方发展的政策性专业、设置本校具有办学优势的特色专业。</w:t>
      </w:r>
      <w:r>
        <w:rPr>
          <w:rFonts w:hint="eastAsia"/>
          <w:lang w:val="en-US" w:eastAsia="zh-CN"/>
        </w:rPr>
        <w:t>随着长学制一体化（3+2）项目的审批愈加严格，</w:t>
      </w:r>
      <w:r>
        <w:rPr>
          <w:rFonts w:hint="default"/>
          <w:lang w:val="en-US" w:eastAsia="zh-CN"/>
        </w:rPr>
        <w:t>这就</w:t>
      </w:r>
      <w:r>
        <w:rPr>
          <w:rFonts w:hint="eastAsia"/>
          <w:lang w:val="en-US" w:eastAsia="zh-CN"/>
        </w:rPr>
        <w:t>进一步</w:t>
      </w:r>
      <w:r>
        <w:rPr>
          <w:rFonts w:hint="default"/>
          <w:lang w:val="en-US" w:eastAsia="zh-CN"/>
        </w:rPr>
        <w:t>导致本应作为涉农专业主力的县域中职学校，却未将农林牧渔大类专业的开设作为高优先级。</w:t>
      </w:r>
    </w:p>
    <w:p w14:paraId="44BE94EC">
      <w:pPr>
        <w:pStyle w:val="16"/>
        <w:rPr>
          <w:rFonts w:hint="default"/>
          <w:lang w:val="en-US" w:eastAsia="zh-CN"/>
        </w:rPr>
      </w:pPr>
      <w:r>
        <w:rPr>
          <w:rFonts w:hint="default"/>
          <w:lang w:val="en-US" w:eastAsia="zh-CN"/>
        </w:rPr>
        <w:t>受限于本地区农业发展的特性与现状，农林牧渔大类的中专毕业生较难获得长期且稳定的实习和就业机会，薪资水平也低于从事制造业和服务业的本校同学。又因农林牧渔大类的特性，较难跨专业就业，再加上农村年轻劳动力的长期外流，致使该专业学生常以创业为主。这就导致了各中职学校的农林牧渔大类招生的恶性循环。</w:t>
      </w:r>
    </w:p>
    <w:p w14:paraId="3587332C">
      <w:pPr>
        <w:pStyle w:val="36"/>
        <w:bidi w:val="0"/>
        <w:rPr>
          <w:rFonts w:hint="eastAsia"/>
          <w:lang w:val="en-US" w:eastAsia="zh-CN"/>
        </w:rPr>
      </w:pPr>
      <w:bookmarkStart w:id="99" w:name="_Toc1333"/>
      <w:r>
        <w:rPr>
          <w:rFonts w:hint="eastAsia"/>
          <w:lang w:val="en-US" w:eastAsia="zh-CN"/>
        </w:rPr>
        <w:t>7.4 职业教育规模保持存在一定困难</w:t>
      </w:r>
      <w:bookmarkEnd w:id="99"/>
    </w:p>
    <w:p w14:paraId="61C34B0C">
      <w:pPr>
        <w:pStyle w:val="16"/>
        <w:rPr>
          <w:rFonts w:hint="default"/>
          <w:lang w:val="en-US" w:eastAsia="zh-CN"/>
        </w:rPr>
      </w:pPr>
      <w:r>
        <w:rPr>
          <w:rFonts w:hint="default"/>
          <w:lang w:val="en-US" w:eastAsia="zh-CN"/>
        </w:rPr>
        <w:t>根据《教育统计年鉴》相关数据预测，随着出生人口下降，我市每年初中毕业生数将由2024年的69112人下降到2031年的53408人，如维持3</w:t>
      </w:r>
      <w:r>
        <w:rPr>
          <w:rFonts w:hint="eastAsia"/>
          <w:lang w:val="en-US" w:eastAsia="zh-CN"/>
        </w:rPr>
        <w:t>:</w:t>
      </w:r>
      <w:r>
        <w:rPr>
          <w:rFonts w:hint="default"/>
          <w:lang w:val="en-US" w:eastAsia="zh-CN"/>
        </w:rPr>
        <w:t>7招生职普比，每年进入中职教育的初中毕业生数将由2024年的20734人下降至2031年16022人。</w:t>
      </w:r>
    </w:p>
    <w:p w14:paraId="254E8472">
      <w:pPr>
        <w:pStyle w:val="16"/>
        <w:rPr>
          <w:rFonts w:hint="default"/>
          <w:lang w:val="en-US" w:eastAsia="zh-CN"/>
        </w:rPr>
      </w:pPr>
      <w:r>
        <w:rPr>
          <w:rFonts w:hint="default"/>
          <w:lang w:val="en-US" w:eastAsia="zh-CN"/>
        </w:rPr>
        <w:t>招生人数的下降，将会导致中职教育生源质量较难保障，进而增加中职学校教育教学水平的高质量发展课题难度。</w:t>
      </w:r>
      <w:r>
        <w:rPr>
          <w:rFonts w:hint="eastAsia"/>
          <w:lang w:val="en-US" w:eastAsia="zh-CN"/>
        </w:rPr>
        <w:t>尤其是随着举办“少而精”的中等职业教育的改革思路的确立，对中职学校专业设置、长学制一体化培养项目政策审批的锁紧，未来中职教育的发展将迎来较大挑战。</w:t>
      </w:r>
    </w:p>
    <w:p w14:paraId="134F999F">
      <w:pPr>
        <w:rPr>
          <w:rFonts w:hint="default"/>
          <w:lang w:val="en-US" w:eastAsia="zh-CN"/>
        </w:rPr>
      </w:pPr>
      <w:r>
        <w:rPr>
          <w:rFonts w:hint="default"/>
          <w:lang w:val="en-US" w:eastAsia="zh-CN"/>
        </w:rPr>
        <w:br w:type="page"/>
      </w:r>
    </w:p>
    <w:p w14:paraId="6DADD645">
      <w:pPr>
        <w:pStyle w:val="19"/>
        <w:bidi w:val="0"/>
        <w:ind w:firstLine="420" w:firstLineChars="0"/>
        <w:rPr>
          <w:rFonts w:hint="eastAsia"/>
          <w:lang w:val="en-US" w:eastAsia="zh-CN"/>
        </w:rPr>
      </w:pPr>
      <w:bookmarkStart w:id="100" w:name="_Toc11561"/>
      <w:r>
        <w:rPr>
          <w:rFonts w:hint="eastAsia"/>
          <w:lang w:val="en-US" w:eastAsia="zh-CN"/>
        </w:rPr>
        <w:t>附表1：人才培养质量计分卡</w:t>
      </w:r>
      <w:bookmarkEnd w:id="100"/>
    </w:p>
    <w:p w14:paraId="3946F8ED">
      <w:pPr>
        <w:pStyle w:val="16"/>
        <w:ind w:left="0" w:leftChars="0" w:firstLine="0" w:firstLineChars="0"/>
        <w:jc w:val="center"/>
        <w:rPr>
          <w:rFonts w:hint="default"/>
          <w:lang w:val="en-US" w:eastAsia="zh-CN"/>
        </w:rPr>
      </w:pPr>
      <w:r>
        <w:rPr>
          <w:rFonts w:hint="default"/>
          <w:lang w:val="en-US" w:eastAsia="zh-CN"/>
        </w:rPr>
        <w:drawing>
          <wp:inline distT="0" distB="0" distL="114300" distR="114300">
            <wp:extent cx="5274310" cy="3992880"/>
            <wp:effectExtent l="0" t="0" r="2540" b="7620"/>
            <wp:docPr id="4" name="图片 4" descr="__bid_n=191eabf4ff52752b00d9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__bid_n=191eabf4ff52752b00d9cb"/>
                    <pic:cNvPicPr>
                      <a:picLocks noChangeAspect="1"/>
                    </pic:cNvPicPr>
                  </pic:nvPicPr>
                  <pic:blipFill>
                    <a:blip r:embed="rId26"/>
                    <a:stretch>
                      <a:fillRect/>
                    </a:stretch>
                  </pic:blipFill>
                  <pic:spPr>
                    <a:xfrm>
                      <a:off x="0" y="0"/>
                      <a:ext cx="5274310" cy="3992880"/>
                    </a:xfrm>
                    <a:prstGeom prst="rect">
                      <a:avLst/>
                    </a:prstGeom>
                  </pic:spPr>
                </pic:pic>
              </a:graphicData>
            </a:graphic>
          </wp:inline>
        </w:drawing>
      </w:r>
    </w:p>
    <w:p w14:paraId="43720884">
      <w:pPr>
        <w:rPr>
          <w:rFonts w:hint="default"/>
          <w:lang w:val="en-US" w:eastAsia="zh-CN"/>
        </w:rPr>
      </w:pPr>
      <w:r>
        <w:rPr>
          <w:rFonts w:hint="default"/>
          <w:lang w:val="en-US" w:eastAsia="zh-CN"/>
        </w:rPr>
        <w:br w:type="page"/>
      </w:r>
    </w:p>
    <w:p w14:paraId="2E45FE18">
      <w:pPr>
        <w:pStyle w:val="16"/>
        <w:ind w:left="0" w:leftChars="0" w:firstLine="0" w:firstLineChars="0"/>
        <w:rPr>
          <w:rFonts w:hint="default"/>
          <w:lang w:val="en-US" w:eastAsia="zh-CN"/>
        </w:rPr>
      </w:pPr>
    </w:p>
    <w:p w14:paraId="1550AEB5">
      <w:pPr>
        <w:pStyle w:val="19"/>
        <w:bidi w:val="0"/>
        <w:ind w:firstLine="0" w:firstLineChars="0"/>
        <w:rPr>
          <w:rFonts w:hint="default"/>
          <w:lang w:val="en-US" w:eastAsia="zh-CN"/>
        </w:rPr>
      </w:pPr>
      <w:bookmarkStart w:id="101" w:name="_Toc17883"/>
      <w:r>
        <w:rPr>
          <w:rFonts w:hint="default"/>
          <w:lang w:val="en-US" w:eastAsia="zh-CN"/>
        </w:rPr>
        <w:t>附表</w:t>
      </w:r>
      <w:r>
        <w:rPr>
          <w:rFonts w:hint="eastAsia"/>
          <w:lang w:val="en-US" w:eastAsia="zh-CN"/>
        </w:rPr>
        <w:t>2</w:t>
      </w:r>
      <w:r>
        <w:rPr>
          <w:rFonts w:hint="default"/>
          <w:lang w:val="en-US" w:eastAsia="zh-CN"/>
        </w:rPr>
        <w:t>：满意度调查表</w:t>
      </w:r>
      <w:bookmarkEnd w:id="101"/>
    </w:p>
    <w:p w14:paraId="6DFC6B6C">
      <w:pPr>
        <w:pStyle w:val="16"/>
        <w:ind w:left="0" w:leftChars="0" w:firstLine="0" w:firstLineChars="0"/>
        <w:jc w:val="center"/>
        <w:rPr>
          <w:rFonts w:hint="default"/>
          <w:lang w:val="en-US" w:eastAsia="zh-CN"/>
        </w:rPr>
      </w:pPr>
      <w:r>
        <w:rPr>
          <w:rFonts w:hint="default"/>
          <w:lang w:val="en-US" w:eastAsia="zh-CN"/>
        </w:rPr>
        <w:drawing>
          <wp:inline distT="0" distB="0" distL="114300" distR="114300">
            <wp:extent cx="5273040" cy="5866130"/>
            <wp:effectExtent l="0" t="0" r="3810" b="1270"/>
            <wp:docPr id="5" name="图片 5" descr="__bid_n=191eabf4ff52752b00d9c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__bid_n=191eabf4ff52752b00d9cb (1)"/>
                    <pic:cNvPicPr>
                      <a:picLocks noChangeAspect="1"/>
                    </pic:cNvPicPr>
                  </pic:nvPicPr>
                  <pic:blipFill>
                    <a:blip r:embed="rId27"/>
                    <a:stretch>
                      <a:fillRect/>
                    </a:stretch>
                  </pic:blipFill>
                  <pic:spPr>
                    <a:xfrm>
                      <a:off x="0" y="0"/>
                      <a:ext cx="5273040" cy="5866130"/>
                    </a:xfrm>
                    <a:prstGeom prst="rect">
                      <a:avLst/>
                    </a:prstGeom>
                  </pic:spPr>
                </pic:pic>
              </a:graphicData>
            </a:graphic>
          </wp:inline>
        </w:drawing>
      </w:r>
    </w:p>
    <w:p w14:paraId="76DD88DE">
      <w:pPr>
        <w:pStyle w:val="19"/>
        <w:bidi w:val="0"/>
        <w:ind w:firstLine="0" w:firstLineChars="0"/>
        <w:rPr>
          <w:rFonts w:hint="default"/>
          <w:lang w:val="en-US" w:eastAsia="zh-CN"/>
        </w:rPr>
      </w:pPr>
      <w:bookmarkStart w:id="102" w:name="_Toc25669"/>
      <w:r>
        <w:rPr>
          <w:rFonts w:hint="default"/>
          <w:lang w:val="en-US" w:eastAsia="zh-CN"/>
        </w:rPr>
        <w:t>附表</w:t>
      </w:r>
      <w:r>
        <w:rPr>
          <w:rFonts w:hint="eastAsia"/>
          <w:lang w:val="en-US" w:eastAsia="zh-CN"/>
        </w:rPr>
        <w:t>3</w:t>
      </w:r>
      <w:r>
        <w:rPr>
          <w:rFonts w:hint="default"/>
          <w:lang w:val="en-US" w:eastAsia="zh-CN"/>
        </w:rPr>
        <w:t>：教学资源表</w:t>
      </w:r>
      <w:bookmarkEnd w:id="102"/>
    </w:p>
    <w:p w14:paraId="54F0649D">
      <w:pPr>
        <w:pStyle w:val="16"/>
        <w:ind w:left="0" w:leftChars="0" w:firstLine="0" w:firstLineChars="0"/>
        <w:jc w:val="center"/>
        <w:rPr>
          <w:rFonts w:hint="default"/>
          <w:lang w:val="en-US" w:eastAsia="zh-CN"/>
        </w:rPr>
      </w:pPr>
      <w:r>
        <w:rPr>
          <w:rFonts w:hint="default"/>
          <w:lang w:val="en-US" w:eastAsia="zh-CN"/>
        </w:rPr>
        <w:drawing>
          <wp:inline distT="0" distB="0" distL="114300" distR="114300">
            <wp:extent cx="3369945" cy="8185150"/>
            <wp:effectExtent l="0" t="0" r="1905" b="6350"/>
            <wp:docPr id="6" name="图片 6" descr="__bid_n=191eabf4ff52752b00d9c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__bid_n=191eabf4ff52752b00d9cb (2)"/>
                    <pic:cNvPicPr>
                      <a:picLocks noChangeAspect="1"/>
                    </pic:cNvPicPr>
                  </pic:nvPicPr>
                  <pic:blipFill>
                    <a:blip r:embed="rId28"/>
                    <a:stretch>
                      <a:fillRect/>
                    </a:stretch>
                  </pic:blipFill>
                  <pic:spPr>
                    <a:xfrm>
                      <a:off x="0" y="0"/>
                      <a:ext cx="3369945" cy="8185150"/>
                    </a:xfrm>
                    <a:prstGeom prst="rect">
                      <a:avLst/>
                    </a:prstGeom>
                  </pic:spPr>
                </pic:pic>
              </a:graphicData>
            </a:graphic>
          </wp:inline>
        </w:drawing>
      </w:r>
    </w:p>
    <w:p w14:paraId="3C3BEE44">
      <w:pPr>
        <w:pStyle w:val="19"/>
        <w:bidi w:val="0"/>
        <w:ind w:firstLine="0" w:firstLineChars="0"/>
        <w:rPr>
          <w:rFonts w:hint="default"/>
          <w:lang w:val="en-US" w:eastAsia="zh-CN"/>
        </w:rPr>
      </w:pPr>
      <w:bookmarkStart w:id="103" w:name="_Toc32378"/>
      <w:r>
        <w:rPr>
          <w:rFonts w:hint="default"/>
          <w:lang w:val="en-US" w:eastAsia="zh-CN"/>
        </w:rPr>
        <w:t>附表</w:t>
      </w:r>
      <w:r>
        <w:rPr>
          <w:rFonts w:hint="eastAsia"/>
          <w:lang w:val="en-US" w:eastAsia="zh-CN"/>
        </w:rPr>
        <w:t>4</w:t>
      </w:r>
      <w:r>
        <w:rPr>
          <w:rFonts w:hint="default"/>
          <w:lang w:val="en-US" w:eastAsia="zh-CN"/>
        </w:rPr>
        <w:t>：</w:t>
      </w:r>
      <w:r>
        <w:rPr>
          <w:rFonts w:hint="eastAsia"/>
          <w:lang w:val="en-US" w:eastAsia="zh-CN"/>
        </w:rPr>
        <w:t>服务贡献</w:t>
      </w:r>
      <w:r>
        <w:rPr>
          <w:rFonts w:hint="default"/>
          <w:lang w:val="en-US" w:eastAsia="zh-CN"/>
        </w:rPr>
        <w:t>表</w:t>
      </w:r>
      <w:bookmarkEnd w:id="103"/>
    </w:p>
    <w:p w14:paraId="05821C7B">
      <w:pPr>
        <w:pStyle w:val="16"/>
        <w:ind w:left="0" w:leftChars="0" w:firstLine="0" w:firstLineChars="0"/>
        <w:rPr>
          <w:rFonts w:hint="default"/>
          <w:lang w:val="en-US" w:eastAsia="zh-CN"/>
        </w:rPr>
      </w:pPr>
      <w:r>
        <w:rPr>
          <w:rFonts w:hint="default"/>
          <w:lang w:val="en-US" w:eastAsia="zh-CN"/>
        </w:rPr>
        <w:drawing>
          <wp:inline distT="0" distB="0" distL="114300" distR="114300">
            <wp:extent cx="5274310" cy="5650865"/>
            <wp:effectExtent l="0" t="0" r="2540" b="6985"/>
            <wp:docPr id="7" name="图片 7" descr="__bid_n=191eabf4ff52752b00d9c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__bid_n=191eabf4ff52752b00d9cb (3)"/>
                    <pic:cNvPicPr>
                      <a:picLocks noChangeAspect="1"/>
                    </pic:cNvPicPr>
                  </pic:nvPicPr>
                  <pic:blipFill>
                    <a:blip r:embed="rId29"/>
                    <a:stretch>
                      <a:fillRect/>
                    </a:stretch>
                  </pic:blipFill>
                  <pic:spPr>
                    <a:xfrm>
                      <a:off x="0" y="0"/>
                      <a:ext cx="5274310" cy="5650865"/>
                    </a:xfrm>
                    <a:prstGeom prst="rect">
                      <a:avLst/>
                    </a:prstGeom>
                  </pic:spPr>
                </pic:pic>
              </a:graphicData>
            </a:graphic>
          </wp:inline>
        </w:drawing>
      </w:r>
    </w:p>
    <w:p w14:paraId="0D208D42">
      <w:pPr>
        <w:pStyle w:val="19"/>
        <w:bidi w:val="0"/>
        <w:ind w:firstLine="0" w:firstLineChars="0"/>
        <w:rPr>
          <w:rFonts w:hint="default"/>
          <w:lang w:val="en-US" w:eastAsia="zh-CN"/>
        </w:rPr>
      </w:pPr>
      <w:bookmarkStart w:id="104" w:name="_Toc688"/>
      <w:r>
        <w:rPr>
          <w:rFonts w:hint="default"/>
          <w:lang w:val="en-US" w:eastAsia="zh-CN"/>
        </w:rPr>
        <w:t>附表</w:t>
      </w:r>
      <w:r>
        <w:rPr>
          <w:rFonts w:hint="eastAsia"/>
          <w:lang w:val="en-US" w:eastAsia="zh-CN"/>
        </w:rPr>
        <w:t>5</w:t>
      </w:r>
      <w:r>
        <w:rPr>
          <w:rFonts w:hint="default"/>
          <w:lang w:val="en-US" w:eastAsia="zh-CN"/>
        </w:rPr>
        <w:t>：</w:t>
      </w:r>
      <w:r>
        <w:rPr>
          <w:rFonts w:hint="eastAsia"/>
          <w:lang w:val="en-US" w:eastAsia="zh-CN"/>
        </w:rPr>
        <w:t>国际影响</w:t>
      </w:r>
      <w:r>
        <w:rPr>
          <w:rFonts w:hint="default"/>
          <w:lang w:val="en-US" w:eastAsia="zh-CN"/>
        </w:rPr>
        <w:t>表</w:t>
      </w:r>
      <w:bookmarkEnd w:id="104"/>
    </w:p>
    <w:p w14:paraId="37E24A47">
      <w:pPr>
        <w:pStyle w:val="16"/>
        <w:ind w:left="0" w:leftChars="0" w:firstLine="0" w:firstLineChars="0"/>
        <w:rPr>
          <w:rFonts w:hint="default"/>
          <w:lang w:val="en-US" w:eastAsia="zh-CN"/>
        </w:rPr>
      </w:pPr>
      <w:r>
        <w:rPr>
          <w:rFonts w:hint="default"/>
          <w:lang w:val="en-US" w:eastAsia="zh-CN"/>
        </w:rPr>
        <w:drawing>
          <wp:inline distT="0" distB="0" distL="114300" distR="114300">
            <wp:extent cx="5274310" cy="5274310"/>
            <wp:effectExtent l="0" t="0" r="2540" b="2540"/>
            <wp:docPr id="8" name="图片 8" descr="__bid_n=191eabf4ff52752b00d9cb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__bid_n=191eabf4ff52752b00d9cb (4)"/>
                    <pic:cNvPicPr>
                      <a:picLocks noChangeAspect="1"/>
                    </pic:cNvPicPr>
                  </pic:nvPicPr>
                  <pic:blipFill>
                    <a:blip r:embed="rId30"/>
                    <a:stretch>
                      <a:fillRect/>
                    </a:stretch>
                  </pic:blipFill>
                  <pic:spPr>
                    <a:xfrm>
                      <a:off x="0" y="0"/>
                      <a:ext cx="5274310" cy="5274310"/>
                    </a:xfrm>
                    <a:prstGeom prst="rect">
                      <a:avLst/>
                    </a:prstGeom>
                  </pic:spPr>
                </pic:pic>
              </a:graphicData>
            </a:graphic>
          </wp:inline>
        </w:drawing>
      </w:r>
    </w:p>
    <w:p w14:paraId="75BD8860">
      <w:pPr>
        <w:rPr>
          <w:rFonts w:hint="default"/>
          <w:lang w:val="en-US" w:eastAsia="zh-CN"/>
        </w:rPr>
      </w:pPr>
      <w:r>
        <w:rPr>
          <w:rFonts w:hint="default"/>
          <w:lang w:val="en-US" w:eastAsia="zh-CN"/>
        </w:rPr>
        <w:br w:type="page"/>
      </w:r>
    </w:p>
    <w:p w14:paraId="5582338C">
      <w:pPr>
        <w:pStyle w:val="16"/>
        <w:ind w:left="0" w:leftChars="0" w:firstLine="0" w:firstLineChars="0"/>
        <w:rPr>
          <w:rFonts w:hint="default"/>
          <w:lang w:val="en-US" w:eastAsia="zh-CN"/>
        </w:rPr>
      </w:pPr>
    </w:p>
    <w:p w14:paraId="49891816">
      <w:pPr>
        <w:pStyle w:val="19"/>
        <w:bidi w:val="0"/>
        <w:ind w:firstLine="0" w:firstLineChars="0"/>
        <w:rPr>
          <w:rFonts w:hint="default"/>
          <w:lang w:val="en-US" w:eastAsia="zh-CN"/>
        </w:rPr>
      </w:pPr>
      <w:bookmarkStart w:id="105" w:name="_Toc9210"/>
      <w:r>
        <w:rPr>
          <w:rFonts w:hint="default"/>
          <w:lang w:val="en-US" w:eastAsia="zh-CN"/>
        </w:rPr>
        <w:t>附表</w:t>
      </w:r>
      <w:r>
        <w:rPr>
          <w:rFonts w:hint="eastAsia"/>
          <w:lang w:val="en-US" w:eastAsia="zh-CN"/>
        </w:rPr>
        <w:t>6</w:t>
      </w:r>
      <w:r>
        <w:rPr>
          <w:rFonts w:hint="default"/>
          <w:lang w:val="en-US" w:eastAsia="zh-CN"/>
        </w:rPr>
        <w:t>：落实政策表</w:t>
      </w:r>
      <w:bookmarkEnd w:id="105"/>
    </w:p>
    <w:p w14:paraId="174ED277">
      <w:pPr>
        <w:pStyle w:val="16"/>
        <w:ind w:left="0" w:leftChars="0" w:firstLine="0" w:firstLineChars="0"/>
        <w:rPr>
          <w:rFonts w:hint="default"/>
          <w:lang w:val="en-US" w:eastAsia="zh-CN"/>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default"/>
          <w:lang w:val="en-US" w:eastAsia="zh-CN"/>
        </w:rPr>
        <w:drawing>
          <wp:inline distT="0" distB="0" distL="114300" distR="114300">
            <wp:extent cx="5272405" cy="4686300"/>
            <wp:effectExtent l="0" t="0" r="4445" b="0"/>
            <wp:docPr id="12" name="图片 12" descr="__bid_n=191eabf4ff52752b00d9cb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__bid_n=191eabf4ff52752b00d9cb (5)"/>
                    <pic:cNvPicPr>
                      <a:picLocks noChangeAspect="1"/>
                    </pic:cNvPicPr>
                  </pic:nvPicPr>
                  <pic:blipFill>
                    <a:blip r:embed="rId31"/>
                    <a:stretch>
                      <a:fillRect/>
                    </a:stretch>
                  </pic:blipFill>
                  <pic:spPr>
                    <a:xfrm>
                      <a:off x="0" y="0"/>
                      <a:ext cx="5272405" cy="4686300"/>
                    </a:xfrm>
                    <a:prstGeom prst="rect">
                      <a:avLst/>
                    </a:prstGeom>
                  </pic:spPr>
                </pic:pic>
              </a:graphicData>
            </a:graphic>
          </wp:inline>
        </w:drawing>
      </w:r>
      <w:bookmarkStart w:id="106" w:name="_GoBack"/>
      <w:bookmarkEnd w:id="106"/>
    </w:p>
    <w:p w14:paraId="7B282197">
      <w:pPr>
        <w:pStyle w:val="16"/>
        <w:ind w:left="0" w:leftChars="0" w:firstLine="0" w:firstLineChars="0"/>
        <w:rPr>
          <w:rFonts w:hint="default"/>
          <w:lang w:val="en-US" w:eastAsia="zh-CN"/>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1192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4983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7F647">
                          <w:pPr>
                            <w:pStyle w:val="8"/>
                            <w:rPr>
                              <w:sz w:val="24"/>
                              <w:szCs w:val="28"/>
                            </w:rPr>
                          </w:pPr>
                          <w:r>
                            <w:rPr>
                              <w:sz w:val="24"/>
                              <w:szCs w:val="28"/>
                            </w:rPr>
                            <w:t xml:space="preserve">— </w:t>
                          </w:r>
                          <w:r>
                            <w:rPr>
                              <w:rFonts w:hint="eastAsia"/>
                              <w:sz w:val="24"/>
                              <w:szCs w:val="28"/>
                              <w:lang w:val="en-US" w:eastAsia="zh-CN"/>
                            </w:rPr>
                            <w:t xml:space="preserve"> </w:t>
                          </w:r>
                          <w:r>
                            <w:rPr>
                              <w:sz w:val="24"/>
                              <w:szCs w:val="28"/>
                            </w:rPr>
                            <w:fldChar w:fldCharType="begin"/>
                          </w:r>
                          <w:r>
                            <w:rPr>
                              <w:sz w:val="24"/>
                              <w:szCs w:val="28"/>
                            </w:rPr>
                            <w:instrText xml:space="preserve"> PAGE  \* MERGEFORMAT </w:instrText>
                          </w:r>
                          <w:r>
                            <w:rPr>
                              <w:sz w:val="24"/>
                              <w:szCs w:val="28"/>
                            </w:rPr>
                            <w:fldChar w:fldCharType="separate"/>
                          </w:r>
                          <w:r>
                            <w:rPr>
                              <w:sz w:val="24"/>
                              <w:szCs w:val="28"/>
                            </w:rPr>
                            <w:t>- 1 -</w:t>
                          </w:r>
                          <w:r>
                            <w:rPr>
                              <w:sz w:val="24"/>
                              <w:szCs w:val="28"/>
                            </w:rPr>
                            <w:fldChar w:fldCharType="end"/>
                          </w:r>
                          <w:r>
                            <w:rPr>
                              <w:sz w:val="24"/>
                              <w:szCs w:val="28"/>
                            </w:rPr>
                            <w:t xml:space="preserve"> </w:t>
                          </w:r>
                          <w:r>
                            <w:rPr>
                              <w:rFonts w:hint="eastAsia"/>
                              <w:sz w:val="24"/>
                              <w:szCs w:val="28"/>
                              <w:lang w:val="en-US" w:eastAsia="zh-CN"/>
                            </w:rPr>
                            <w:t xml:space="preserve"> </w:t>
                          </w:r>
                          <w:r>
                            <w:rPr>
                              <w:sz w:val="24"/>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4E7F647">
                    <w:pPr>
                      <w:pStyle w:val="8"/>
                      <w:rPr>
                        <w:sz w:val="24"/>
                        <w:szCs w:val="28"/>
                      </w:rPr>
                    </w:pPr>
                    <w:r>
                      <w:rPr>
                        <w:sz w:val="24"/>
                        <w:szCs w:val="28"/>
                      </w:rPr>
                      <w:t xml:space="preserve">— </w:t>
                    </w:r>
                    <w:r>
                      <w:rPr>
                        <w:rFonts w:hint="eastAsia"/>
                        <w:sz w:val="24"/>
                        <w:szCs w:val="28"/>
                        <w:lang w:val="en-US" w:eastAsia="zh-CN"/>
                      </w:rPr>
                      <w:t xml:space="preserve"> </w:t>
                    </w:r>
                    <w:r>
                      <w:rPr>
                        <w:sz w:val="24"/>
                        <w:szCs w:val="28"/>
                      </w:rPr>
                      <w:fldChar w:fldCharType="begin"/>
                    </w:r>
                    <w:r>
                      <w:rPr>
                        <w:sz w:val="24"/>
                        <w:szCs w:val="28"/>
                      </w:rPr>
                      <w:instrText xml:space="preserve"> PAGE  \* MERGEFORMAT </w:instrText>
                    </w:r>
                    <w:r>
                      <w:rPr>
                        <w:sz w:val="24"/>
                        <w:szCs w:val="28"/>
                      </w:rPr>
                      <w:fldChar w:fldCharType="separate"/>
                    </w:r>
                    <w:r>
                      <w:rPr>
                        <w:sz w:val="24"/>
                        <w:szCs w:val="28"/>
                      </w:rPr>
                      <w:t>- 1 -</w:t>
                    </w:r>
                    <w:r>
                      <w:rPr>
                        <w:sz w:val="24"/>
                        <w:szCs w:val="28"/>
                      </w:rPr>
                      <w:fldChar w:fldCharType="end"/>
                    </w:r>
                    <w:r>
                      <w:rPr>
                        <w:sz w:val="24"/>
                        <w:szCs w:val="28"/>
                      </w:rPr>
                      <w:t xml:space="preserve"> </w:t>
                    </w:r>
                    <w:r>
                      <w:rPr>
                        <w:rFonts w:hint="eastAsia"/>
                        <w:sz w:val="24"/>
                        <w:szCs w:val="28"/>
                        <w:lang w:val="en-US" w:eastAsia="zh-CN"/>
                      </w:rPr>
                      <w:t xml:space="preserve"> </w:t>
                    </w:r>
                    <w:r>
                      <w:rPr>
                        <w:sz w:val="24"/>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6D50A">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71726"/>
    <w:multiLevelType w:val="singleLevel"/>
    <w:tmpl w:val="9C371726"/>
    <w:lvl w:ilvl="0" w:tentative="0">
      <w:start w:val="1"/>
      <w:numFmt w:val="decimal"/>
      <w:pStyle w:val="29"/>
      <w:suff w:val="nothing"/>
      <w:lvlText w:val="%1."/>
      <w:lvlJc w:val="left"/>
      <w:pPr>
        <w:tabs>
          <w:tab w:val="left" w:pos="0"/>
        </w:tabs>
        <w:ind w:left="0" w:firstLine="397"/>
      </w:pPr>
      <w:rPr>
        <w:rFonts w:hint="default" w:ascii="仿宋_GB2312" w:hAnsi="仿宋_GB2312" w:eastAsia="仿宋_GB2312"/>
        <w:b/>
        <w:sz w:val="32"/>
      </w:rPr>
    </w:lvl>
  </w:abstractNum>
  <w:abstractNum w:abstractNumId="1">
    <w:nsid w:val="44551CB8"/>
    <w:multiLevelType w:val="singleLevel"/>
    <w:tmpl w:val="44551CB8"/>
    <w:lvl w:ilvl="0" w:tentative="0">
      <w:start w:val="1"/>
      <w:numFmt w:val="chineseCounting"/>
      <w:pStyle w:val="18"/>
      <w:suff w:val="nothing"/>
      <w:lvlText w:val="（%1）"/>
      <w:lvlJc w:val="left"/>
      <w:pPr>
        <w:tabs>
          <w:tab w:val="left" w:pos="5103"/>
        </w:tabs>
        <w:ind w:left="5103" w:firstLine="0"/>
      </w:pPr>
      <w:rPr>
        <w:rFonts w:hint="eastAsia" w:eastAsia="楷体"/>
        <w:b/>
        <w:sz w:val="32"/>
      </w:rPr>
    </w:lvl>
  </w:abstractNum>
  <w:abstractNum w:abstractNumId="2">
    <w:nsid w:val="5D587385"/>
    <w:multiLevelType w:val="singleLevel"/>
    <w:tmpl w:val="5D587385"/>
    <w:lvl w:ilvl="0" w:tentative="0">
      <w:start w:val="1"/>
      <w:numFmt w:val="chineseCounting"/>
      <w:pStyle w:val="15"/>
      <w:suff w:val="nothing"/>
      <w:lvlText w:val="%1、"/>
      <w:lvlJc w:val="left"/>
      <w:pPr>
        <w:tabs>
          <w:tab w:val="left" w:pos="0"/>
        </w:tabs>
        <w:ind w:left="0" w:firstLine="0"/>
      </w:pPr>
      <w:rPr>
        <w:rFonts w:hint="eastAsia" w:eastAsia="黑体"/>
        <w:b w:val="0"/>
        <w:sz w:val="32"/>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xNmM2MGI0ZDVmOWQwYzY1YzE3ZDA0NzhmM2IxYWMifQ=="/>
  </w:docVars>
  <w:rsids>
    <w:rsidRoot w:val="00172A27"/>
    <w:rsid w:val="040A0EEA"/>
    <w:rsid w:val="068766B9"/>
    <w:rsid w:val="07D16CD0"/>
    <w:rsid w:val="07DB5D03"/>
    <w:rsid w:val="09D050EF"/>
    <w:rsid w:val="0A094CF7"/>
    <w:rsid w:val="0A946528"/>
    <w:rsid w:val="0D403094"/>
    <w:rsid w:val="0E522BC9"/>
    <w:rsid w:val="101B49F2"/>
    <w:rsid w:val="10B400D6"/>
    <w:rsid w:val="10C84048"/>
    <w:rsid w:val="11512899"/>
    <w:rsid w:val="13441F7C"/>
    <w:rsid w:val="136E4C9D"/>
    <w:rsid w:val="13BA052A"/>
    <w:rsid w:val="1410303C"/>
    <w:rsid w:val="14726CAC"/>
    <w:rsid w:val="1486186A"/>
    <w:rsid w:val="16011CAF"/>
    <w:rsid w:val="187B2616"/>
    <w:rsid w:val="1A7F48BE"/>
    <w:rsid w:val="1D574866"/>
    <w:rsid w:val="1D59324A"/>
    <w:rsid w:val="1DCF2045"/>
    <w:rsid w:val="1F2C538C"/>
    <w:rsid w:val="228964B1"/>
    <w:rsid w:val="23782997"/>
    <w:rsid w:val="24885FA4"/>
    <w:rsid w:val="26885EAC"/>
    <w:rsid w:val="29553630"/>
    <w:rsid w:val="2CD114D6"/>
    <w:rsid w:val="30D20112"/>
    <w:rsid w:val="30EA6D08"/>
    <w:rsid w:val="31067C7A"/>
    <w:rsid w:val="319A780B"/>
    <w:rsid w:val="319D78B0"/>
    <w:rsid w:val="31E87583"/>
    <w:rsid w:val="32584006"/>
    <w:rsid w:val="34BF6C65"/>
    <w:rsid w:val="34EE524E"/>
    <w:rsid w:val="35A91FA7"/>
    <w:rsid w:val="38E02A41"/>
    <w:rsid w:val="39C77DB1"/>
    <w:rsid w:val="3A3A2CE3"/>
    <w:rsid w:val="3D485717"/>
    <w:rsid w:val="3D9E4224"/>
    <w:rsid w:val="3EB07A18"/>
    <w:rsid w:val="3F516B05"/>
    <w:rsid w:val="414708C4"/>
    <w:rsid w:val="415B7528"/>
    <w:rsid w:val="424652FC"/>
    <w:rsid w:val="42CB5ED4"/>
    <w:rsid w:val="442E0E42"/>
    <w:rsid w:val="44492562"/>
    <w:rsid w:val="451F1453"/>
    <w:rsid w:val="45B37E61"/>
    <w:rsid w:val="48E521D3"/>
    <w:rsid w:val="4B7C02F9"/>
    <w:rsid w:val="4B9605F6"/>
    <w:rsid w:val="4C72630D"/>
    <w:rsid w:val="4CA47A94"/>
    <w:rsid w:val="4CDB0767"/>
    <w:rsid w:val="4E09400D"/>
    <w:rsid w:val="4E1D3741"/>
    <w:rsid w:val="4F495424"/>
    <w:rsid w:val="4F833B28"/>
    <w:rsid w:val="51066EF0"/>
    <w:rsid w:val="513D182A"/>
    <w:rsid w:val="514E519C"/>
    <w:rsid w:val="51D177E5"/>
    <w:rsid w:val="52EB59A5"/>
    <w:rsid w:val="55E20687"/>
    <w:rsid w:val="571322DE"/>
    <w:rsid w:val="59001BE7"/>
    <w:rsid w:val="59080725"/>
    <w:rsid w:val="593C3F2A"/>
    <w:rsid w:val="5A426AD9"/>
    <w:rsid w:val="5C347E9F"/>
    <w:rsid w:val="60114023"/>
    <w:rsid w:val="606B47E6"/>
    <w:rsid w:val="6095384B"/>
    <w:rsid w:val="60F77DED"/>
    <w:rsid w:val="61F40A0D"/>
    <w:rsid w:val="6283706E"/>
    <w:rsid w:val="62847CD3"/>
    <w:rsid w:val="638630FE"/>
    <w:rsid w:val="660C6084"/>
    <w:rsid w:val="667C15C5"/>
    <w:rsid w:val="67377761"/>
    <w:rsid w:val="68EE44CD"/>
    <w:rsid w:val="69342E70"/>
    <w:rsid w:val="6A5D7F8D"/>
    <w:rsid w:val="6BCE4EB6"/>
    <w:rsid w:val="6C2F6015"/>
    <w:rsid w:val="6CCB5899"/>
    <w:rsid w:val="6DB01147"/>
    <w:rsid w:val="6DB36974"/>
    <w:rsid w:val="6E1A6AD8"/>
    <w:rsid w:val="6F5F5FE8"/>
    <w:rsid w:val="71533B12"/>
    <w:rsid w:val="71984A02"/>
    <w:rsid w:val="758912FD"/>
    <w:rsid w:val="75EC0BD5"/>
    <w:rsid w:val="78CA0EDE"/>
    <w:rsid w:val="7AA5772A"/>
    <w:rsid w:val="7B097703"/>
    <w:rsid w:val="7B316901"/>
    <w:rsid w:val="7B9C3293"/>
    <w:rsid w:val="7BAA3EE8"/>
    <w:rsid w:val="7CE553A2"/>
    <w:rsid w:val="7D2D7801"/>
    <w:rsid w:val="7E4E1C03"/>
    <w:rsid w:val="7E8C6AAB"/>
    <w:rsid w:val="7F8C68C2"/>
    <w:rsid w:val="7F9C0E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00" w:lineRule="auto"/>
      <w:ind w:firstLine="0" w:firstLineChars="0"/>
      <w:jc w:val="both"/>
    </w:pPr>
    <w:rPr>
      <w:rFonts w:ascii="Times New Roman" w:hAnsi="Times New Roman" w:eastAsia="宋体" w:cs="Times New Roman"/>
      <w:kern w:val="2"/>
      <w:sz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ind w:firstLine="0" w:firstLineChars="0"/>
      <w:jc w:val="center"/>
      <w:outlineLvl w:val="0"/>
    </w:pPr>
    <w:rPr>
      <w:rFonts w:cstheme="minorBidi"/>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autoRedefine/>
    <w:unhideWhenUsed/>
    <w:qFormat/>
    <w:uiPriority w:val="1"/>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6">
    <w:name w:val="Body Text"/>
    <w:basedOn w:val="1"/>
    <w:autoRedefine/>
    <w:qFormat/>
    <w:uiPriority w:val="0"/>
    <w:pPr>
      <w:spacing w:after="120" w:afterLines="0" w:afterAutospacing="0"/>
    </w:pPr>
  </w:style>
  <w:style w:type="paragraph" w:styleId="7">
    <w:name w:val="Plain Text"/>
    <w:basedOn w:val="1"/>
    <w:autoRedefine/>
    <w:qFormat/>
    <w:uiPriority w:val="0"/>
    <w:rPr>
      <w:rFonts w:ascii="宋体" w:hAnsi="Courier New"/>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autoRedefine/>
    <w:qFormat/>
    <w:uiPriority w:val="0"/>
    <w:pPr>
      <w:spacing w:line="560" w:lineRule="exact"/>
    </w:pPr>
    <w:rPr>
      <w:rFonts w:ascii="Times New Roman" w:hAnsi="Times New Roman" w:eastAsia="华文楷体"/>
      <w:sz w:val="30"/>
    </w:rPr>
  </w:style>
  <w:style w:type="paragraph" w:styleId="11">
    <w:name w:val="footnote text"/>
    <w:basedOn w:val="1"/>
    <w:link w:val="27"/>
    <w:autoRedefine/>
    <w:qFormat/>
    <w:uiPriority w:val="0"/>
    <w:pPr>
      <w:snapToGrid w:val="0"/>
      <w:spacing w:line="240" w:lineRule="auto"/>
      <w:ind w:firstLine="0" w:firstLineChars="0"/>
      <w:jc w:val="left"/>
    </w:pPr>
    <w:rPr>
      <w:sz w:val="18"/>
    </w:rPr>
  </w:style>
  <w:style w:type="paragraph" w:styleId="12">
    <w:name w:val="toc 2"/>
    <w:basedOn w:val="1"/>
    <w:next w:val="1"/>
    <w:autoRedefine/>
    <w:qFormat/>
    <w:uiPriority w:val="0"/>
    <w:pPr>
      <w:spacing w:line="520" w:lineRule="exact"/>
      <w:ind w:left="420" w:leftChars="200"/>
    </w:pPr>
    <w:rPr>
      <w:rFonts w:ascii="Times New Roman" w:hAnsi="Times New Roman" w:eastAsia="华文楷体"/>
      <w:sz w:val="30"/>
    </w:rPr>
  </w:style>
  <w:style w:type="paragraph" w:customStyle="1" w:styleId="15">
    <w:name w:val="公文一级"/>
    <w:basedOn w:val="2"/>
    <w:next w:val="1"/>
    <w:autoRedefine/>
    <w:qFormat/>
    <w:uiPriority w:val="0"/>
    <w:pPr>
      <w:numPr>
        <w:ilvl w:val="0"/>
        <w:numId w:val="1"/>
      </w:numPr>
      <w:spacing w:before="20" w:after="20" w:line="108" w:lineRule="auto"/>
      <w:ind w:firstLine="880" w:firstLineChars="200"/>
      <w:jc w:val="both"/>
    </w:pPr>
    <w:rPr>
      <w:rFonts w:ascii="Calibri" w:hAnsi="Calibri" w:eastAsia="黑体" w:cs="Times New Roman"/>
      <w:b w:val="0"/>
      <w:sz w:val="32"/>
      <w:szCs w:val="24"/>
    </w:rPr>
  </w:style>
  <w:style w:type="paragraph" w:customStyle="1" w:styleId="16">
    <w:name w:val="公文正文"/>
    <w:basedOn w:val="7"/>
    <w:autoRedefine/>
    <w:qFormat/>
    <w:uiPriority w:val="0"/>
    <w:pPr>
      <w:spacing w:line="108" w:lineRule="auto"/>
      <w:ind w:firstLine="883" w:firstLineChars="200"/>
    </w:pPr>
    <w:rPr>
      <w:rFonts w:hAnsi="宋体" w:eastAsia="仿宋_GB2312"/>
      <w:sz w:val="32"/>
      <w:szCs w:val="24"/>
    </w:rPr>
  </w:style>
  <w:style w:type="paragraph" w:customStyle="1" w:styleId="17">
    <w:name w:val="二级标题"/>
    <w:basedOn w:val="3"/>
    <w:next w:val="6"/>
    <w:link w:val="24"/>
    <w:autoRedefine/>
    <w:qFormat/>
    <w:uiPriority w:val="0"/>
    <w:pPr>
      <w:spacing w:before="100" w:beforeLines="100" w:after="100" w:afterLines="100" w:line="300" w:lineRule="auto"/>
      <w:ind w:firstLine="0" w:firstLineChars="0"/>
    </w:pPr>
    <w:rPr>
      <w:rFonts w:ascii="Times New Roman" w:hAnsi="Times New Roman" w:cs="Times New Roman"/>
      <w:kern w:val="0"/>
      <w:sz w:val="28"/>
    </w:rPr>
  </w:style>
  <w:style w:type="paragraph" w:customStyle="1" w:styleId="18">
    <w:name w:val="公文二级标题"/>
    <w:basedOn w:val="3"/>
    <w:next w:val="16"/>
    <w:link w:val="30"/>
    <w:autoRedefine/>
    <w:qFormat/>
    <w:uiPriority w:val="0"/>
    <w:pPr>
      <w:numPr>
        <w:ilvl w:val="0"/>
        <w:numId w:val="2"/>
      </w:numPr>
      <w:tabs>
        <w:tab w:val="left" w:pos="0"/>
      </w:tabs>
      <w:spacing w:before="20" w:after="20" w:line="240" w:lineRule="auto"/>
      <w:ind w:left="0" w:firstLine="988" w:firstLineChars="200"/>
    </w:pPr>
    <w:rPr>
      <w:rFonts w:ascii="Arial" w:hAnsi="Arial" w:eastAsia="楷体" w:cs="Times New Roman"/>
      <w:sz w:val="36"/>
      <w:szCs w:val="24"/>
    </w:rPr>
  </w:style>
  <w:style w:type="paragraph" w:customStyle="1" w:styleId="19">
    <w:name w:val="年报附表"/>
    <w:basedOn w:val="5"/>
    <w:next w:val="16"/>
    <w:autoRedefine/>
    <w:qFormat/>
    <w:uiPriority w:val="0"/>
    <w:pPr>
      <w:widowControl/>
      <w:topLinePunct/>
      <w:autoSpaceDE w:val="0"/>
      <w:adjustRightInd w:val="0"/>
      <w:snapToGrid w:val="0"/>
      <w:spacing w:before="20" w:after="50" w:afterLines="50" w:line="482" w:lineRule="exact"/>
      <w:jc w:val="left"/>
      <w:textAlignment w:val="baseline"/>
    </w:pPr>
    <w:rPr>
      <w:rFonts w:hint="eastAsia" w:ascii="楷体_GB2312" w:hAnsi="楷体_GB2312" w:eastAsia="楷体" w:cs="楷体_GB2312"/>
      <w:bCs/>
      <w:snapToGrid w:val="0"/>
      <w:color w:val="000000"/>
      <w:kern w:val="0"/>
      <w:position w:val="-5"/>
      <w:szCs w:val="28"/>
    </w:rPr>
  </w:style>
  <w:style w:type="paragraph" w:customStyle="1" w:styleId="20">
    <w:name w:val="三级标题"/>
    <w:basedOn w:val="4"/>
    <w:link w:val="21"/>
    <w:autoRedefine/>
    <w:qFormat/>
    <w:uiPriority w:val="0"/>
    <w:pPr>
      <w:spacing w:line="300" w:lineRule="auto"/>
      <w:ind w:firstLine="480"/>
    </w:pPr>
    <w:rPr>
      <w:rFonts w:ascii="Times New Roman" w:hAnsi="Times New Roman" w:eastAsia="黑体" w:cs="Times New Roman"/>
      <w:kern w:val="0"/>
      <w:sz w:val="24"/>
    </w:rPr>
  </w:style>
  <w:style w:type="character" w:customStyle="1" w:styleId="21">
    <w:name w:val="三级标题 Char"/>
    <w:link w:val="20"/>
    <w:autoRedefine/>
    <w:qFormat/>
    <w:uiPriority w:val="0"/>
    <w:rPr>
      <w:rFonts w:ascii="Times New Roman" w:hAnsi="Times New Roman" w:eastAsia="黑体" w:cs="Times New Roman"/>
      <w:b/>
      <w:sz w:val="24"/>
    </w:rPr>
  </w:style>
  <w:style w:type="paragraph" w:customStyle="1" w:styleId="22">
    <w:name w:val="一级标题"/>
    <w:basedOn w:val="2"/>
    <w:link w:val="23"/>
    <w:autoRedefine/>
    <w:qFormat/>
    <w:uiPriority w:val="0"/>
    <w:pPr>
      <w:spacing w:before="100" w:beforeLines="100" w:after="100" w:afterLines="100" w:line="480" w:lineRule="auto"/>
      <w:ind w:firstLine="480"/>
      <w:jc w:val="center"/>
    </w:pPr>
    <w:rPr>
      <w:rFonts w:ascii="Times New Roman" w:hAnsi="Times New Roman" w:eastAsia="黑体" w:cs="Times New Roman"/>
      <w:kern w:val="0"/>
      <w:sz w:val="32"/>
    </w:rPr>
  </w:style>
  <w:style w:type="character" w:customStyle="1" w:styleId="23">
    <w:name w:val="一级标题 Char"/>
    <w:link w:val="22"/>
    <w:autoRedefine/>
    <w:qFormat/>
    <w:uiPriority w:val="0"/>
    <w:rPr>
      <w:rFonts w:ascii="Times New Roman" w:hAnsi="Times New Roman" w:eastAsia="黑体" w:cs="Times New Roman"/>
      <w:b/>
      <w:sz w:val="32"/>
    </w:rPr>
  </w:style>
  <w:style w:type="character" w:customStyle="1" w:styleId="24">
    <w:name w:val="二级标题 Char"/>
    <w:link w:val="17"/>
    <w:autoRedefine/>
    <w:qFormat/>
    <w:uiPriority w:val="0"/>
    <w:rPr>
      <w:rFonts w:ascii="Times New Roman" w:hAnsi="Times New Roman" w:eastAsia="黑体" w:cs="Times New Roman"/>
      <w:b/>
      <w:sz w:val="28"/>
    </w:rPr>
  </w:style>
  <w:style w:type="paragraph" w:customStyle="1" w:styleId="25">
    <w:name w:val="引文"/>
    <w:basedOn w:val="1"/>
    <w:link w:val="26"/>
    <w:autoRedefine/>
    <w:qFormat/>
    <w:uiPriority w:val="0"/>
    <w:pPr>
      <w:spacing w:before="240" w:after="240"/>
      <w:ind w:left="200" w:leftChars="200"/>
    </w:pPr>
    <w:rPr>
      <w:rFonts w:eastAsia="仿宋"/>
      <w:kern w:val="0"/>
      <w:sz w:val="24"/>
    </w:rPr>
  </w:style>
  <w:style w:type="character" w:customStyle="1" w:styleId="26">
    <w:name w:val="引文 Char"/>
    <w:link w:val="25"/>
    <w:autoRedefine/>
    <w:qFormat/>
    <w:uiPriority w:val="0"/>
    <w:rPr>
      <w:rFonts w:ascii="Times New Roman" w:hAnsi="Times New Roman" w:eastAsia="仿宋"/>
      <w:sz w:val="24"/>
    </w:rPr>
  </w:style>
  <w:style w:type="character" w:customStyle="1" w:styleId="27">
    <w:name w:val="脚注文本 Char"/>
    <w:basedOn w:val="14"/>
    <w:link w:val="11"/>
    <w:autoRedefine/>
    <w:qFormat/>
    <w:uiPriority w:val="0"/>
    <w:rPr>
      <w:rFonts w:ascii="Times New Roman" w:hAnsi="Times New Roman" w:eastAsia="宋体" w:cs="Times New Roman"/>
      <w:kern w:val="2"/>
      <w:sz w:val="18"/>
      <w:szCs w:val="18"/>
      <w:lang w:val="en-US" w:eastAsia="zh-CN" w:bidi="ar-SA"/>
    </w:rPr>
  </w:style>
  <w:style w:type="paragraph" w:customStyle="1" w:styleId="28">
    <w:name w:val="公文一级标题"/>
    <w:basedOn w:val="2"/>
    <w:next w:val="16"/>
    <w:autoRedefine/>
    <w:qFormat/>
    <w:uiPriority w:val="0"/>
    <w:pPr>
      <w:spacing w:before="20" w:after="20" w:line="108" w:lineRule="auto"/>
      <w:ind w:firstLine="640" w:firstLineChars="200"/>
      <w:jc w:val="both"/>
    </w:pPr>
    <w:rPr>
      <w:rFonts w:ascii="Times New Roman" w:hAnsi="Times New Roman" w:eastAsia="黑体"/>
      <w:b w:val="0"/>
      <w:sz w:val="32"/>
    </w:rPr>
  </w:style>
  <w:style w:type="paragraph" w:customStyle="1" w:styleId="29">
    <w:name w:val="公文三级标题"/>
    <w:basedOn w:val="4"/>
    <w:next w:val="16"/>
    <w:autoRedefine/>
    <w:qFormat/>
    <w:uiPriority w:val="0"/>
    <w:pPr>
      <w:numPr>
        <w:ilvl w:val="0"/>
        <w:numId w:val="3"/>
      </w:numPr>
      <w:spacing w:before="20" w:after="20" w:line="240" w:lineRule="auto"/>
      <w:ind w:firstLine="880" w:firstLineChars="200"/>
    </w:pPr>
    <w:rPr>
      <w:rFonts w:ascii="Calibri" w:hAnsi="Calibri" w:eastAsia="仿宋_GB2312"/>
      <w:szCs w:val="24"/>
    </w:rPr>
  </w:style>
  <w:style w:type="character" w:customStyle="1" w:styleId="30">
    <w:name w:val="公文二级标题 Char"/>
    <w:link w:val="18"/>
    <w:autoRedefine/>
    <w:qFormat/>
    <w:uiPriority w:val="0"/>
    <w:rPr>
      <w:rFonts w:ascii="Arial" w:hAnsi="Arial" w:eastAsia="楷体" w:cs="Times New Roman"/>
      <w:szCs w:val="24"/>
    </w:rPr>
  </w:style>
  <w:style w:type="paragraph" w:customStyle="1" w:styleId="31">
    <w:name w:val="投标2级"/>
    <w:basedOn w:val="1"/>
    <w:autoRedefine/>
    <w:qFormat/>
    <w:uiPriority w:val="0"/>
    <w:pPr>
      <w:spacing w:line="460" w:lineRule="exact"/>
      <w:outlineLvl w:val="1"/>
    </w:pPr>
    <w:rPr>
      <w:rFonts w:hint="eastAsia" w:ascii="宋体" w:hAnsi="宋体" w:eastAsia="宋体" w:cs="宋体"/>
      <w:b/>
      <w:sz w:val="24"/>
      <w:szCs w:val="21"/>
    </w:rPr>
  </w:style>
  <w:style w:type="paragraph" w:customStyle="1" w:styleId="32">
    <w:name w:val="投标3级"/>
    <w:basedOn w:val="1"/>
    <w:next w:val="4"/>
    <w:autoRedefine/>
    <w:qFormat/>
    <w:uiPriority w:val="0"/>
    <w:pPr>
      <w:spacing w:line="520" w:lineRule="exact"/>
      <w:ind w:firstLine="1687" w:firstLineChars="200"/>
    </w:pPr>
    <w:rPr>
      <w:rFonts w:hint="eastAsia" w:ascii="宋体" w:hAnsi="宋体" w:eastAsia="宋体" w:cs="Times New Roman"/>
      <w:b/>
      <w:bCs/>
      <w:sz w:val="24"/>
      <w:szCs w:val="24"/>
    </w:rPr>
  </w:style>
  <w:style w:type="paragraph" w:customStyle="1" w:styleId="33">
    <w:name w:val="00投标1级"/>
    <w:basedOn w:val="2"/>
    <w:next w:val="1"/>
    <w:autoRedefine/>
    <w:qFormat/>
    <w:uiPriority w:val="0"/>
    <w:pPr>
      <w:spacing w:line="400" w:lineRule="exact"/>
      <w:ind w:firstLine="0" w:firstLineChars="0"/>
      <w:jc w:val="center"/>
    </w:pPr>
    <w:rPr>
      <w:rFonts w:hint="eastAsia" w:ascii="宋体" w:hAnsi="宋体" w:eastAsia="宋体" w:cs="宋体"/>
      <w:bCs/>
      <w:kern w:val="0"/>
      <w:sz w:val="28"/>
      <w:szCs w:val="28"/>
    </w:rPr>
  </w:style>
  <w:style w:type="paragraph" w:customStyle="1" w:styleId="34">
    <w:name w:val="00投标3级"/>
    <w:basedOn w:val="1"/>
    <w:next w:val="4"/>
    <w:link w:val="35"/>
    <w:autoRedefine/>
    <w:qFormat/>
    <w:uiPriority w:val="0"/>
    <w:pPr>
      <w:spacing w:line="520" w:lineRule="exact"/>
      <w:ind w:firstLine="1687" w:firstLineChars="200"/>
    </w:pPr>
    <w:rPr>
      <w:rFonts w:hint="eastAsia" w:ascii="宋体" w:hAnsi="宋体" w:eastAsia="宋体" w:cs="Times New Roman"/>
      <w:b/>
      <w:bCs/>
      <w:sz w:val="24"/>
      <w:szCs w:val="24"/>
    </w:rPr>
  </w:style>
  <w:style w:type="character" w:customStyle="1" w:styleId="35">
    <w:name w:val="投标3级 Char"/>
    <w:link w:val="34"/>
    <w:autoRedefine/>
    <w:qFormat/>
    <w:uiPriority w:val="0"/>
    <w:rPr>
      <w:rFonts w:hint="eastAsia" w:ascii="宋体" w:hAnsi="宋体" w:eastAsia="宋体" w:cs="Times New Roman"/>
      <w:b/>
      <w:bCs/>
      <w:sz w:val="24"/>
      <w:szCs w:val="24"/>
    </w:rPr>
  </w:style>
  <w:style w:type="paragraph" w:customStyle="1" w:styleId="36">
    <w:name w:val="年报二级"/>
    <w:basedOn w:val="3"/>
    <w:next w:val="16"/>
    <w:autoRedefine/>
    <w:qFormat/>
    <w:uiPriority w:val="0"/>
    <w:pPr>
      <w:spacing w:before="20" w:after="20" w:line="560" w:lineRule="exact"/>
      <w:ind w:leftChars="0" w:firstLine="643" w:firstLineChars="200"/>
    </w:pPr>
    <w:rPr>
      <w:rFonts w:hint="eastAsia" w:ascii="Calibri" w:hAnsi="Calibri" w:eastAsia="楷体"/>
      <w:b w:val="0"/>
    </w:rPr>
  </w:style>
  <w:style w:type="paragraph" w:customStyle="1" w:styleId="37">
    <w:name w:val="案例标题"/>
    <w:basedOn w:val="5"/>
    <w:autoRedefine/>
    <w:qFormat/>
    <w:uiPriority w:val="0"/>
    <w:pPr>
      <w:spacing w:after="200" w:afterLines="0" w:line="400" w:lineRule="exact"/>
      <w:ind w:firstLine="0" w:firstLineChars="0"/>
      <w:jc w:val="both"/>
    </w:pPr>
    <w:rPr>
      <w:rFonts w:hint="eastAsia" w:ascii="Calibri" w:hAnsi="Calibri" w:eastAsia="楷体"/>
      <w:sz w:val="30"/>
    </w:rPr>
  </w:style>
  <w:style w:type="paragraph" w:customStyle="1" w:styleId="38">
    <w:name w:val="年报表格"/>
    <w:basedOn w:val="5"/>
    <w:next w:val="16"/>
    <w:autoRedefine/>
    <w:qFormat/>
    <w:uiPriority w:val="0"/>
    <w:pPr>
      <w:widowControl/>
      <w:topLinePunct/>
      <w:autoSpaceDE w:val="0"/>
      <w:adjustRightInd w:val="0"/>
      <w:snapToGrid w:val="0"/>
      <w:spacing w:before="20" w:after="50" w:afterLines="50" w:line="482" w:lineRule="exact"/>
      <w:jc w:val="center"/>
      <w:textAlignment w:val="baseline"/>
    </w:pPr>
    <w:rPr>
      <w:rFonts w:hint="eastAsia" w:ascii="楷体_GB2312" w:hAnsi="楷体_GB2312" w:eastAsia="楷体" w:cs="楷体_GB2312"/>
      <w:bCs/>
      <w:snapToGrid w:val="0"/>
      <w:color w:val="000000"/>
      <w:kern w:val="0"/>
      <w:position w:val="-5"/>
      <w:szCs w:val="28"/>
    </w:rPr>
  </w:style>
  <w:style w:type="paragraph" w:customStyle="1" w:styleId="39">
    <w:name w:val="案例正文"/>
    <w:basedOn w:val="1"/>
    <w:autoRedefine/>
    <w:qFormat/>
    <w:uiPriority w:val="0"/>
    <w:pPr>
      <w:spacing w:afterLines="0" w:line="400" w:lineRule="exact"/>
      <w:ind w:firstLine="880" w:firstLineChars="200"/>
    </w:pPr>
    <w:rPr>
      <w:rFonts w:hint="eastAsia" w:ascii="Calibri" w:hAnsi="Calibri" w:eastAsia="楷体" w:cs="Times New Roman"/>
      <w:sz w:val="30"/>
    </w:rPr>
  </w:style>
  <w:style w:type="paragraph" w:customStyle="1" w:styleId="40">
    <w:name w:val="年报图片"/>
    <w:basedOn w:val="5"/>
    <w:next w:val="16"/>
    <w:link w:val="43"/>
    <w:autoRedefine/>
    <w:qFormat/>
    <w:uiPriority w:val="0"/>
    <w:pPr>
      <w:widowControl/>
      <w:topLinePunct/>
      <w:autoSpaceDE w:val="0"/>
      <w:adjustRightInd w:val="0"/>
      <w:snapToGrid w:val="0"/>
      <w:spacing w:before="20" w:after="50" w:afterLines="50" w:line="482" w:lineRule="exact"/>
      <w:jc w:val="center"/>
      <w:textAlignment w:val="baseline"/>
    </w:pPr>
    <w:rPr>
      <w:rFonts w:hint="eastAsia" w:ascii="楷体_GB2312" w:hAnsi="楷体_GB2312" w:eastAsia="楷体" w:cs="楷体_GB2312"/>
      <w:bCs/>
      <w:snapToGrid w:val="0"/>
      <w:color w:val="000000"/>
      <w:kern w:val="0"/>
      <w:position w:val="-5"/>
      <w:szCs w:val="28"/>
    </w:rPr>
  </w:style>
  <w:style w:type="character" w:customStyle="1" w:styleId="41">
    <w:name w:val="font21"/>
    <w:basedOn w:val="14"/>
    <w:autoRedefine/>
    <w:qFormat/>
    <w:uiPriority w:val="0"/>
    <w:rPr>
      <w:rFonts w:ascii="仿宋_GB2312" w:eastAsia="仿宋_GB2312" w:cs="仿宋_GB2312"/>
      <w:b/>
      <w:bCs/>
      <w:color w:val="FFFFFF"/>
      <w:sz w:val="21"/>
      <w:szCs w:val="21"/>
      <w:u w:val="none"/>
    </w:rPr>
  </w:style>
  <w:style w:type="character" w:customStyle="1" w:styleId="42">
    <w:name w:val="font31"/>
    <w:basedOn w:val="14"/>
    <w:autoRedefine/>
    <w:qFormat/>
    <w:uiPriority w:val="0"/>
    <w:rPr>
      <w:rFonts w:ascii="仿宋" w:hAnsi="仿宋" w:eastAsia="仿宋" w:cs="仿宋"/>
      <w:color w:val="000000"/>
      <w:sz w:val="22"/>
      <w:szCs w:val="22"/>
      <w:u w:val="none"/>
    </w:rPr>
  </w:style>
  <w:style w:type="character" w:customStyle="1" w:styleId="43">
    <w:name w:val="年报图片 Char"/>
    <w:link w:val="40"/>
    <w:qFormat/>
    <w:uiPriority w:val="0"/>
    <w:rPr>
      <w:rFonts w:hint="eastAsia" w:ascii="楷体_GB2312" w:hAnsi="楷体_GB2312" w:eastAsia="楷体" w:cs="楷体_GB2312"/>
      <w:bCs/>
      <w:snapToGrid w:val="0"/>
      <w:color w:val="000000"/>
      <w:kern w:val="0"/>
      <w:position w:val="-5"/>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webp"/><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chart" Target="charts/chart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webp"/><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G:\000&#24037;&#20316;&#20013;\SynologyDrive\22&#24066;&#25945;&#32946;&#23616;&#32844;&#25104;\240000&#65288;&#32844;&#25104;&#22788;%20&#21608;&#65289;24&#24180;&#36136;&#37327;&#24180;&#25253;\250113&#25776;&#20889;\2024&#24180;&#25253;&#20869;&#21508;&#31181;&#34920;&#2668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c:explosion val="0"/>
          <c:dPt>
            <c:idx val="0"/>
            <c:bubble3D val="0"/>
            <c:spPr>
              <a:solidFill>
                <a:srgbClr val="4874CB"/>
              </a:solidFill>
              <a:ln>
                <a:solidFill>
                  <a:sysClr val="window" lastClr="FFFFFF"/>
                </a:solidFill>
              </a:ln>
              <a:effectLst/>
            </c:spPr>
          </c:dPt>
          <c:dPt>
            <c:idx val="1"/>
            <c:bubble3D val="0"/>
            <c:spPr>
              <a:solidFill>
                <a:srgbClr val="EE822F"/>
              </a:solidFill>
              <a:ln>
                <a:solidFill>
                  <a:sysClr val="window" lastClr="FFFFFF"/>
                </a:solidFill>
              </a:ln>
              <a:effectLst/>
            </c:spPr>
          </c:dPt>
          <c:dPt>
            <c:idx val="2"/>
            <c:bubble3D val="0"/>
            <c:spPr>
              <a:solidFill>
                <a:srgbClr val="F2BA02"/>
              </a:solidFill>
              <a:ln>
                <a:solidFill>
                  <a:sysClr val="window" lastClr="FFFFFF"/>
                </a:solidFill>
              </a:ln>
              <a:effectLst/>
            </c:spPr>
          </c:dPt>
          <c:dLbls>
            <c:delete val="1"/>
          </c:dLbls>
          <c:cat>
            <c:strRef>
              <c:f>[2024年报内各种表格.xlsx]三产就业!$A$1:$C$1</c:f>
              <c:strCache>
                <c:ptCount val="3"/>
                <c:pt idx="0">
                  <c:v>第一产业</c:v>
                </c:pt>
                <c:pt idx="1">
                  <c:v>第二产业</c:v>
                </c:pt>
                <c:pt idx="2">
                  <c:v>第三产业</c:v>
                </c:pt>
              </c:strCache>
            </c:strRef>
          </c:cat>
          <c:val>
            <c:numRef>
              <c:f>[2024年报内各种表格.xlsx]三产就业!$A$2:$C$2</c:f>
              <c:numCache>
                <c:formatCode>General</c:formatCode>
                <c:ptCount val="3"/>
                <c:pt idx="0">
                  <c:v>81</c:v>
                </c:pt>
                <c:pt idx="1">
                  <c:v>1992</c:v>
                </c:pt>
                <c:pt idx="2">
                  <c:v>2700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extLst>
      <c:ext uri="{0b15fc19-7d7d-44ad-8c2d-2c3a37ce22c3}">
        <chartProps xmlns="https://web.wps.cn/et/2018/main" chartId="{1c24d45e-0d95-4e2e-801b-006013f599fe}"/>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9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solidFill>
          <a:sysClr val="window" lastClr="FFFFFF"/>
        </a:solidFill>
      </a:ln>
      <a:effectLst/>
    </cs:spPr>
  </cs:dataPoint>
  <cs:dataPoint3D>
    <cs:lnRef idx="0"/>
    <cs:fillRef idx="1">
      <cs:styleClr val="auto"/>
    </cs:fillRef>
    <cs:effectRef idx="0"/>
    <cs:fontRef idx="minor">
      <a:sysClr val="windowText" lastClr="000000"/>
    </cs:fontRef>
    <cs:spPr>
      <a:ln w="25400">
        <a:solidFill>
          <a:sysClr val="window" lastClr="FFFFFF"/>
        </a:solidFill>
      </a:ln>
    </cs:spPr>
  </cs:dataPoint3D>
  <cs:dataPointLine>
    <cs:lnRef idx="0">
      <cs:styleClr val="auto"/>
    </cs:lnRef>
    <cs:fillRef idx="0"/>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58</Pages>
  <Words>1892</Words>
  <Characters>2061</Characters>
  <Lines>0</Lines>
  <Paragraphs>0</Paragraphs>
  <TotalTime>18</TotalTime>
  <ScaleCrop>false</ScaleCrop>
  <LinksUpToDate>false</LinksUpToDate>
  <CharactersWithSpaces>2189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Rex楠翔</cp:lastModifiedBy>
  <cp:lastPrinted>2025-01-16T08:34:00Z</cp:lastPrinted>
  <dcterms:modified xsi:type="dcterms:W3CDTF">2025-02-14T07:46:36Z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3EF73801B86F46569F7468E21673A477</vt:lpwstr>
  </property>
  <property fmtid="{D5CDD505-2E9C-101B-9397-08002B2CF9AE}" pid="4" name="KSOTemplateDocerSaveRecord">
    <vt:lpwstr>eyJoZGlkIjoiMTIxNmM2MGI0ZDVmOWQwYzY1YzE3ZDA0NzhmM2IxYWMiLCJ1c2VySWQiOiI2NzU5MDM4OTgifQ==</vt:lpwstr>
  </property>
</Properties>
</file>