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047C1C">
      <w:pPr>
        <w:keepNext w:val="0"/>
        <w:keepLines w:val="0"/>
        <w:pageBreakBefore w:val="0"/>
        <w:widowControl/>
        <w:kinsoku/>
        <w:wordWrap/>
        <w:overflowPunct/>
        <w:topLinePunct/>
        <w:autoSpaceDE w:val="0"/>
        <w:autoSpaceDN w:val="0"/>
        <w:bidi w:val="0"/>
        <w:adjustRightInd w:val="0"/>
        <w:snapToGrid w:val="0"/>
        <w:spacing w:line="240" w:lineRule="auto"/>
        <w:ind w:firstLine="0" w:firstLineChars="0"/>
        <w:jc w:val="left"/>
        <w:textAlignment w:val="baseline"/>
        <w:outlineLvl w:val="9"/>
        <w:rPr>
          <w:rFonts w:ascii="Arial" w:hAnsi="Arial" w:eastAsia="Arial" w:cs="Arial"/>
          <w:snapToGrid w:val="0"/>
          <w:color w:val="000000"/>
          <w:kern w:val="0"/>
          <w:sz w:val="21"/>
          <w:szCs w:val="21"/>
        </w:rPr>
      </w:pPr>
    </w:p>
    <w:p w14:paraId="4A6D871D">
      <w:pPr>
        <w:keepNext w:val="0"/>
        <w:keepLines w:val="0"/>
        <w:pageBreakBefore w:val="0"/>
        <w:widowControl/>
        <w:kinsoku/>
        <w:wordWrap/>
        <w:overflowPunct/>
        <w:topLinePunct/>
        <w:autoSpaceDE w:val="0"/>
        <w:autoSpaceDN w:val="0"/>
        <w:bidi w:val="0"/>
        <w:adjustRightInd w:val="0"/>
        <w:snapToGrid w:val="0"/>
        <w:spacing w:line="240" w:lineRule="auto"/>
        <w:ind w:firstLine="0" w:firstLineChars="0"/>
        <w:jc w:val="left"/>
        <w:textAlignment w:val="baseline"/>
        <w:outlineLvl w:val="9"/>
        <w:rPr>
          <w:rFonts w:ascii="Arial" w:hAnsi="Arial" w:eastAsia="Arial" w:cs="Arial"/>
          <w:snapToGrid w:val="0"/>
          <w:color w:val="000000"/>
          <w:kern w:val="0"/>
          <w:sz w:val="21"/>
          <w:szCs w:val="21"/>
        </w:rPr>
      </w:pPr>
    </w:p>
    <w:p w14:paraId="23BC72A3">
      <w:pPr>
        <w:keepNext w:val="0"/>
        <w:keepLines w:val="0"/>
        <w:pageBreakBefore w:val="0"/>
        <w:widowControl/>
        <w:kinsoku/>
        <w:wordWrap/>
        <w:overflowPunct/>
        <w:topLinePunct/>
        <w:autoSpaceDE w:val="0"/>
        <w:autoSpaceDN w:val="0"/>
        <w:bidi w:val="0"/>
        <w:adjustRightInd w:val="0"/>
        <w:snapToGrid w:val="0"/>
        <w:spacing w:line="240" w:lineRule="auto"/>
        <w:ind w:firstLine="0" w:firstLineChars="0"/>
        <w:jc w:val="left"/>
        <w:textAlignment w:val="baseline"/>
        <w:outlineLvl w:val="9"/>
        <w:rPr>
          <w:rFonts w:ascii="Arial" w:hAnsi="Arial" w:eastAsia="Arial" w:cs="Arial"/>
          <w:snapToGrid w:val="0"/>
          <w:color w:val="000000"/>
          <w:kern w:val="0"/>
          <w:sz w:val="21"/>
          <w:szCs w:val="21"/>
        </w:rPr>
      </w:pPr>
    </w:p>
    <w:p w14:paraId="32DC1E41">
      <w:pPr>
        <w:keepNext w:val="0"/>
        <w:keepLines w:val="0"/>
        <w:pageBreakBefore w:val="0"/>
        <w:widowControl/>
        <w:kinsoku/>
        <w:wordWrap/>
        <w:overflowPunct/>
        <w:topLinePunct/>
        <w:autoSpaceDE w:val="0"/>
        <w:autoSpaceDN w:val="0"/>
        <w:bidi w:val="0"/>
        <w:adjustRightInd w:val="0"/>
        <w:snapToGrid w:val="0"/>
        <w:spacing w:line="240" w:lineRule="auto"/>
        <w:ind w:firstLine="0" w:firstLineChars="0"/>
        <w:jc w:val="left"/>
        <w:textAlignment w:val="baseline"/>
        <w:outlineLvl w:val="9"/>
        <w:rPr>
          <w:rFonts w:ascii="Arial" w:hAnsi="Arial" w:eastAsia="Arial" w:cs="Arial"/>
          <w:snapToGrid w:val="0"/>
          <w:color w:val="000000"/>
          <w:kern w:val="0"/>
          <w:sz w:val="21"/>
          <w:szCs w:val="21"/>
        </w:rPr>
      </w:pPr>
    </w:p>
    <w:p w14:paraId="6DF25129">
      <w:pPr>
        <w:keepNext w:val="0"/>
        <w:keepLines w:val="0"/>
        <w:pageBreakBefore w:val="0"/>
        <w:widowControl/>
        <w:kinsoku/>
        <w:wordWrap/>
        <w:overflowPunct/>
        <w:topLinePunct/>
        <w:autoSpaceDE w:val="0"/>
        <w:autoSpaceDN w:val="0"/>
        <w:bidi w:val="0"/>
        <w:adjustRightInd w:val="0"/>
        <w:snapToGrid w:val="0"/>
        <w:spacing w:line="240" w:lineRule="auto"/>
        <w:ind w:firstLine="0" w:firstLineChars="0"/>
        <w:jc w:val="left"/>
        <w:textAlignment w:val="baseline"/>
        <w:outlineLvl w:val="9"/>
        <w:rPr>
          <w:rFonts w:ascii="Arial" w:hAnsi="Arial" w:eastAsia="Arial" w:cs="Arial"/>
          <w:snapToGrid w:val="0"/>
          <w:color w:val="000000"/>
          <w:kern w:val="0"/>
          <w:sz w:val="21"/>
          <w:szCs w:val="21"/>
        </w:rPr>
      </w:pPr>
    </w:p>
    <w:p w14:paraId="6B170422">
      <w:pPr>
        <w:keepNext w:val="0"/>
        <w:keepLines w:val="0"/>
        <w:pageBreakBefore w:val="0"/>
        <w:widowControl/>
        <w:kinsoku/>
        <w:wordWrap/>
        <w:overflowPunct/>
        <w:topLinePunct/>
        <w:autoSpaceDE w:val="0"/>
        <w:autoSpaceDN w:val="0"/>
        <w:bidi w:val="0"/>
        <w:adjustRightInd w:val="0"/>
        <w:snapToGrid w:val="0"/>
        <w:spacing w:line="240" w:lineRule="auto"/>
        <w:ind w:firstLine="0" w:firstLineChars="0"/>
        <w:jc w:val="left"/>
        <w:textAlignment w:val="baseline"/>
        <w:outlineLvl w:val="9"/>
        <w:rPr>
          <w:rFonts w:ascii="Arial" w:hAnsi="Arial" w:eastAsia="Arial" w:cs="Arial"/>
          <w:snapToGrid w:val="0"/>
          <w:color w:val="000000"/>
          <w:kern w:val="0"/>
          <w:sz w:val="21"/>
          <w:szCs w:val="21"/>
        </w:rPr>
      </w:pPr>
    </w:p>
    <w:p w14:paraId="2808BFAE">
      <w:pPr>
        <w:keepNext w:val="0"/>
        <w:keepLines w:val="0"/>
        <w:pageBreakBefore w:val="0"/>
        <w:widowControl/>
        <w:kinsoku/>
        <w:wordWrap/>
        <w:overflowPunct/>
        <w:topLinePunct/>
        <w:autoSpaceDE w:val="0"/>
        <w:autoSpaceDN w:val="0"/>
        <w:bidi w:val="0"/>
        <w:adjustRightInd w:val="0"/>
        <w:snapToGrid w:val="0"/>
        <w:spacing w:line="240" w:lineRule="auto"/>
        <w:ind w:firstLine="0" w:firstLineChars="0"/>
        <w:jc w:val="left"/>
        <w:textAlignment w:val="baseline"/>
        <w:outlineLvl w:val="9"/>
        <w:rPr>
          <w:rFonts w:ascii="Arial" w:hAnsi="Arial" w:eastAsia="Arial" w:cs="Arial"/>
          <w:snapToGrid w:val="0"/>
          <w:color w:val="000000"/>
          <w:kern w:val="0"/>
          <w:sz w:val="21"/>
          <w:szCs w:val="21"/>
        </w:rPr>
      </w:pPr>
    </w:p>
    <w:p w14:paraId="2FBA271B">
      <w:pPr>
        <w:keepNext w:val="0"/>
        <w:keepLines w:val="0"/>
        <w:pageBreakBefore w:val="0"/>
        <w:widowControl/>
        <w:kinsoku/>
        <w:wordWrap/>
        <w:overflowPunct/>
        <w:topLinePunct/>
        <w:autoSpaceDE w:val="0"/>
        <w:autoSpaceDN w:val="0"/>
        <w:bidi w:val="0"/>
        <w:adjustRightInd w:val="0"/>
        <w:snapToGrid w:val="0"/>
        <w:spacing w:line="240" w:lineRule="auto"/>
        <w:ind w:firstLine="0" w:firstLineChars="0"/>
        <w:jc w:val="left"/>
        <w:textAlignment w:val="baseline"/>
        <w:outlineLvl w:val="9"/>
        <w:rPr>
          <w:rFonts w:ascii="Arial" w:hAnsi="Arial" w:eastAsia="Arial" w:cs="Arial"/>
          <w:snapToGrid w:val="0"/>
          <w:color w:val="000000"/>
          <w:kern w:val="0"/>
          <w:sz w:val="21"/>
          <w:szCs w:val="21"/>
        </w:rPr>
      </w:pPr>
    </w:p>
    <w:p w14:paraId="6C784649">
      <w:pPr>
        <w:keepNext w:val="0"/>
        <w:keepLines w:val="0"/>
        <w:pageBreakBefore w:val="0"/>
        <w:widowControl/>
        <w:kinsoku/>
        <w:wordWrap/>
        <w:overflowPunct/>
        <w:topLinePunct/>
        <w:autoSpaceDE w:val="0"/>
        <w:autoSpaceDN w:val="0"/>
        <w:bidi w:val="0"/>
        <w:adjustRightInd w:val="0"/>
        <w:snapToGrid w:val="0"/>
        <w:spacing w:line="241" w:lineRule="auto"/>
        <w:ind w:firstLine="0" w:firstLineChars="0"/>
        <w:jc w:val="left"/>
        <w:textAlignment w:val="baseline"/>
        <w:outlineLvl w:val="9"/>
        <w:rPr>
          <w:rFonts w:ascii="Arial" w:hAnsi="Arial" w:eastAsia="Arial" w:cs="Arial"/>
          <w:snapToGrid w:val="0"/>
          <w:color w:val="000000"/>
          <w:kern w:val="0"/>
          <w:sz w:val="21"/>
          <w:szCs w:val="21"/>
        </w:rPr>
      </w:pPr>
    </w:p>
    <w:p w14:paraId="201D1FFA">
      <w:pPr>
        <w:keepNext w:val="0"/>
        <w:keepLines w:val="0"/>
        <w:pageBreakBefore w:val="0"/>
        <w:widowControl/>
        <w:kinsoku/>
        <w:wordWrap/>
        <w:overflowPunct/>
        <w:topLinePunct/>
        <w:autoSpaceDE w:val="0"/>
        <w:autoSpaceDN w:val="0"/>
        <w:bidi w:val="0"/>
        <w:adjustRightInd w:val="0"/>
        <w:snapToGrid w:val="0"/>
        <w:spacing w:line="241" w:lineRule="auto"/>
        <w:ind w:firstLine="0" w:firstLineChars="0"/>
        <w:jc w:val="left"/>
        <w:textAlignment w:val="baseline"/>
        <w:outlineLvl w:val="9"/>
        <w:rPr>
          <w:rFonts w:ascii="Arial" w:hAnsi="Arial" w:eastAsia="Arial" w:cs="Arial"/>
          <w:snapToGrid w:val="0"/>
          <w:color w:val="000000"/>
          <w:kern w:val="0"/>
          <w:sz w:val="21"/>
          <w:szCs w:val="21"/>
        </w:rPr>
      </w:pPr>
    </w:p>
    <w:p w14:paraId="593F72FF">
      <w:pPr>
        <w:keepNext w:val="0"/>
        <w:keepLines w:val="0"/>
        <w:pageBreakBefore w:val="0"/>
        <w:widowControl/>
        <w:kinsoku/>
        <w:wordWrap/>
        <w:overflowPunct/>
        <w:topLinePunct/>
        <w:autoSpaceDE w:val="0"/>
        <w:autoSpaceDN w:val="0"/>
        <w:bidi w:val="0"/>
        <w:adjustRightInd w:val="0"/>
        <w:snapToGrid w:val="0"/>
        <w:spacing w:before="309" w:line="183" w:lineRule="auto"/>
        <w:ind w:firstLine="243" w:firstLineChars="0"/>
        <w:jc w:val="center"/>
        <w:textAlignment w:val="baseline"/>
        <w:outlineLvl w:val="9"/>
        <w:rPr>
          <w:rFonts w:ascii="微软雅黑" w:hAnsi="微软雅黑" w:eastAsia="微软雅黑" w:cs="微软雅黑"/>
          <w:snapToGrid w:val="0"/>
          <w:color w:val="000000"/>
          <w:kern w:val="0"/>
          <w:sz w:val="72"/>
          <w:szCs w:val="72"/>
        </w:rPr>
      </w:pPr>
      <w:bookmarkStart w:id="0" w:name="_Toc4889"/>
      <w:bookmarkStart w:id="1" w:name="_Toc15970"/>
      <w:bookmarkStart w:id="2" w:name="_Toc22040"/>
      <w:bookmarkStart w:id="3" w:name="_Toc19472"/>
      <w:bookmarkStart w:id="4" w:name="_Toc22627"/>
      <w:bookmarkStart w:id="5" w:name="_Toc26104"/>
      <w:bookmarkStart w:id="107" w:name="_GoBack"/>
      <w:r>
        <w:rPr>
          <w:rFonts w:hint="eastAsia" w:ascii="方正小标宋简体" w:hAnsi="方正小标宋简体" w:eastAsia="方正小标宋简体" w:cs="方正小标宋简体"/>
          <w:snapToGrid w:val="0"/>
          <w:color w:val="000000"/>
          <w:spacing w:val="-2"/>
          <w:kern w:val="0"/>
          <w:sz w:val="72"/>
          <w:szCs w:val="72"/>
        </w:rPr>
        <w:t>九江市中等职业教育质</w:t>
      </w:r>
      <w:r>
        <w:rPr>
          <w:rFonts w:hint="eastAsia" w:ascii="方正小标宋简体" w:hAnsi="方正小标宋简体" w:eastAsia="方正小标宋简体" w:cs="方正小标宋简体"/>
          <w:snapToGrid w:val="0"/>
          <w:color w:val="000000"/>
          <w:spacing w:val="-1"/>
          <w:kern w:val="0"/>
          <w:sz w:val="72"/>
          <w:szCs w:val="72"/>
        </w:rPr>
        <w:t>量</w:t>
      </w:r>
      <w:bookmarkEnd w:id="0"/>
      <w:bookmarkEnd w:id="1"/>
      <w:bookmarkEnd w:id="2"/>
      <w:bookmarkEnd w:id="3"/>
      <w:bookmarkEnd w:id="4"/>
      <w:bookmarkEnd w:id="5"/>
    </w:p>
    <w:p w14:paraId="7DCC7382">
      <w:pPr>
        <w:keepNext w:val="0"/>
        <w:keepLines w:val="0"/>
        <w:pageBreakBefore w:val="0"/>
        <w:widowControl/>
        <w:kinsoku/>
        <w:wordWrap/>
        <w:overflowPunct/>
        <w:topLinePunct/>
        <w:autoSpaceDE w:val="0"/>
        <w:autoSpaceDN w:val="0"/>
        <w:bidi w:val="0"/>
        <w:adjustRightInd w:val="0"/>
        <w:snapToGrid w:val="0"/>
        <w:spacing w:line="182" w:lineRule="auto"/>
        <w:ind w:firstLine="0" w:firstLineChars="0"/>
        <w:jc w:val="center"/>
        <w:textAlignment w:val="baseline"/>
        <w:outlineLvl w:val="9"/>
        <w:rPr>
          <w:rFonts w:ascii="方正小标宋简体" w:hAnsi="方正小标宋简体" w:eastAsia="方正小标宋简体" w:cs="方正小标宋简体"/>
          <w:snapToGrid w:val="0"/>
          <w:color w:val="000000"/>
          <w:spacing w:val="-2"/>
          <w:kern w:val="0"/>
          <w:sz w:val="72"/>
          <w:szCs w:val="72"/>
        </w:rPr>
      </w:pPr>
      <w:r>
        <w:rPr>
          <w:rFonts w:hint="eastAsia" w:ascii="方正小标宋简体" w:hAnsi="方正小标宋简体" w:eastAsia="方正小标宋简体" w:cs="方正小标宋简体"/>
          <w:snapToGrid w:val="0"/>
          <w:color w:val="000000"/>
          <w:spacing w:val="-2"/>
          <w:kern w:val="0"/>
          <w:sz w:val="72"/>
          <w:szCs w:val="72"/>
        </w:rPr>
        <w:t>年度报告</w:t>
      </w:r>
    </w:p>
    <w:p w14:paraId="6F66C3F4">
      <w:pPr>
        <w:keepNext w:val="0"/>
        <w:keepLines w:val="0"/>
        <w:pageBreakBefore w:val="0"/>
        <w:widowControl/>
        <w:kinsoku/>
        <w:wordWrap/>
        <w:overflowPunct/>
        <w:topLinePunct/>
        <w:autoSpaceDE w:val="0"/>
        <w:autoSpaceDN w:val="0"/>
        <w:bidi w:val="0"/>
        <w:adjustRightInd w:val="0"/>
        <w:snapToGrid w:val="0"/>
        <w:spacing w:beforeLines="100" w:line="206" w:lineRule="auto"/>
        <w:ind w:firstLine="0" w:firstLineChars="0"/>
        <w:jc w:val="center"/>
        <w:textAlignment w:val="baseline"/>
        <w:outlineLvl w:val="9"/>
        <w:rPr>
          <w:rFonts w:ascii="微软雅黑" w:hAnsi="微软雅黑" w:eastAsia="微软雅黑" w:cs="微软雅黑"/>
          <w:snapToGrid w:val="0"/>
          <w:color w:val="000000"/>
          <w:kern w:val="0"/>
          <w:sz w:val="52"/>
          <w:szCs w:val="52"/>
        </w:rPr>
      </w:pPr>
      <w:r>
        <w:rPr>
          <w:rFonts w:hint="eastAsia" w:ascii="方正小标宋简体" w:hAnsi="方正小标宋简体" w:eastAsia="方正小标宋简体" w:cs="方正小标宋简体"/>
          <w:snapToGrid w:val="0"/>
          <w:color w:val="000000"/>
          <w:spacing w:val="10"/>
          <w:kern w:val="0"/>
          <w:sz w:val="52"/>
          <w:szCs w:val="52"/>
        </w:rPr>
        <w:t>（</w:t>
      </w:r>
      <w:r>
        <w:rPr>
          <w:rFonts w:ascii="Times New Roman" w:hAnsi="Times New Roman" w:eastAsia="Times New Roman" w:cs="Times New Roman"/>
          <w:snapToGrid w:val="0"/>
          <w:color w:val="000000"/>
          <w:spacing w:val="5"/>
          <w:kern w:val="0"/>
          <w:sz w:val="52"/>
          <w:szCs w:val="52"/>
        </w:rPr>
        <w:t>202</w:t>
      </w:r>
      <w:r>
        <w:rPr>
          <w:rFonts w:hint="eastAsia" w:cs="Times New Roman"/>
          <w:snapToGrid w:val="0"/>
          <w:color w:val="000000"/>
          <w:spacing w:val="5"/>
          <w:kern w:val="0"/>
          <w:sz w:val="52"/>
          <w:szCs w:val="52"/>
          <w:lang w:val="en-US" w:eastAsia="zh-CN"/>
        </w:rPr>
        <w:t>3</w:t>
      </w:r>
      <w:r>
        <w:rPr>
          <w:rFonts w:ascii="Times New Roman" w:hAnsi="Times New Roman" w:eastAsia="Times New Roman" w:cs="Times New Roman"/>
          <w:snapToGrid w:val="0"/>
          <w:color w:val="000000"/>
          <w:spacing w:val="4"/>
          <w:kern w:val="0"/>
          <w:sz w:val="52"/>
          <w:szCs w:val="52"/>
        </w:rPr>
        <w:t xml:space="preserve"> </w:t>
      </w:r>
      <w:r>
        <w:rPr>
          <w:rFonts w:hint="eastAsia" w:ascii="方正小标宋简体" w:hAnsi="方正小标宋简体" w:eastAsia="方正小标宋简体" w:cs="方正小标宋简体"/>
          <w:snapToGrid w:val="0"/>
          <w:color w:val="000000"/>
          <w:spacing w:val="10"/>
          <w:kern w:val="0"/>
          <w:sz w:val="52"/>
          <w:szCs w:val="52"/>
        </w:rPr>
        <w:t>年</w:t>
      </w:r>
      <w:r>
        <w:rPr>
          <w:rFonts w:hint="eastAsia" w:ascii="方正小标宋简体" w:hAnsi="方正小标宋简体" w:eastAsia="方正小标宋简体" w:cs="方正小标宋简体"/>
          <w:snapToGrid w:val="0"/>
          <w:color w:val="000000"/>
          <w:spacing w:val="13"/>
          <w:kern w:val="0"/>
          <w:sz w:val="52"/>
          <w:szCs w:val="52"/>
        </w:rPr>
        <w:t>）</w:t>
      </w:r>
      <w:bookmarkEnd w:id="107"/>
    </w:p>
    <w:p w14:paraId="1169AA42">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07F31F18">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48E768BC">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1E5D9225">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623F532E">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6027B369">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5586DA56">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3DFA09FA">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50E770F9">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24FCA730">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30443122">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2DFCD30A">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42847CF0">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335DCD41">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740EB1C6">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1CA8D8D1">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0DC0C0A0">
      <w:pPr>
        <w:keepNext w:val="0"/>
        <w:keepLines w:val="0"/>
        <w:pageBreakBefore w:val="0"/>
        <w:widowControl/>
        <w:kinsoku/>
        <w:wordWrap/>
        <w:overflowPunct/>
        <w:topLinePunct/>
        <w:autoSpaceDE w:val="0"/>
        <w:autoSpaceDN w:val="0"/>
        <w:bidi w:val="0"/>
        <w:adjustRightInd w:val="0"/>
        <w:snapToGrid w:val="0"/>
        <w:spacing w:line="254" w:lineRule="auto"/>
        <w:ind w:firstLine="0" w:firstLineChars="0"/>
        <w:jc w:val="left"/>
        <w:textAlignment w:val="baseline"/>
        <w:outlineLvl w:val="9"/>
        <w:rPr>
          <w:rFonts w:ascii="Arial" w:hAnsi="Arial" w:eastAsia="Arial" w:cs="Arial"/>
          <w:snapToGrid w:val="0"/>
          <w:color w:val="000000"/>
          <w:kern w:val="0"/>
          <w:sz w:val="21"/>
          <w:szCs w:val="21"/>
        </w:rPr>
      </w:pPr>
    </w:p>
    <w:p w14:paraId="49470E86">
      <w:pPr>
        <w:keepNext w:val="0"/>
        <w:keepLines w:val="0"/>
        <w:pageBreakBefore w:val="0"/>
        <w:widowControl/>
        <w:kinsoku/>
        <w:wordWrap/>
        <w:overflowPunct/>
        <w:topLinePunct/>
        <w:autoSpaceDE w:val="0"/>
        <w:autoSpaceDN w:val="0"/>
        <w:bidi w:val="0"/>
        <w:adjustRightInd w:val="0"/>
        <w:snapToGrid w:val="0"/>
        <w:spacing w:before="140" w:line="624" w:lineRule="exact"/>
        <w:ind w:firstLine="2897" w:firstLineChars="0"/>
        <w:jc w:val="left"/>
        <w:textAlignment w:val="baseline"/>
        <w:outlineLvl w:val="9"/>
        <w:rPr>
          <w:rFonts w:ascii="仿宋" w:hAnsi="仿宋" w:eastAsia="仿宋" w:cs="仿宋"/>
          <w:snapToGrid w:val="0"/>
          <w:color w:val="000000"/>
          <w:kern w:val="0"/>
          <w:sz w:val="43"/>
          <w:szCs w:val="43"/>
        </w:rPr>
      </w:pPr>
      <w:bookmarkStart w:id="6" w:name="_Toc14329"/>
      <w:bookmarkStart w:id="7" w:name="_Toc5325"/>
      <w:bookmarkStart w:id="8" w:name="_Toc19705"/>
      <w:bookmarkStart w:id="9" w:name="_Toc17483"/>
      <w:bookmarkStart w:id="10" w:name="_Toc5293"/>
      <w:bookmarkStart w:id="11" w:name="_Toc5311"/>
      <w:r>
        <w:rPr>
          <w:rFonts w:hint="eastAsia" w:ascii="仿宋" w:hAnsi="仿宋" w:eastAsia="仿宋" w:cs="仿宋"/>
          <w:snapToGrid w:val="0"/>
          <w:color w:val="000000"/>
          <w:spacing w:val="4"/>
          <w:kern w:val="0"/>
          <w:position w:val="13"/>
          <w:sz w:val="43"/>
          <w:szCs w:val="43"/>
        </w:rPr>
        <w:t>九江</w:t>
      </w:r>
      <w:r>
        <w:rPr>
          <w:rFonts w:ascii="仿宋" w:hAnsi="仿宋" w:eastAsia="仿宋" w:cs="仿宋"/>
          <w:snapToGrid w:val="0"/>
          <w:color w:val="000000"/>
          <w:spacing w:val="4"/>
          <w:kern w:val="0"/>
          <w:position w:val="13"/>
          <w:sz w:val="43"/>
          <w:szCs w:val="43"/>
        </w:rPr>
        <w:t>市教</w:t>
      </w:r>
      <w:r>
        <w:rPr>
          <w:rFonts w:ascii="仿宋" w:hAnsi="仿宋" w:eastAsia="仿宋" w:cs="仿宋"/>
          <w:snapToGrid w:val="0"/>
          <w:color w:val="000000"/>
          <w:spacing w:val="3"/>
          <w:kern w:val="0"/>
          <w:position w:val="13"/>
          <w:sz w:val="43"/>
          <w:szCs w:val="43"/>
        </w:rPr>
        <w:t>育局</w:t>
      </w:r>
      <w:bookmarkEnd w:id="6"/>
      <w:bookmarkEnd w:id="7"/>
      <w:bookmarkEnd w:id="8"/>
      <w:bookmarkEnd w:id="9"/>
      <w:bookmarkEnd w:id="10"/>
      <w:bookmarkEnd w:id="11"/>
    </w:p>
    <w:p w14:paraId="299DEAD7">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outlineLvl w:val="9"/>
        <w:rPr>
          <w:rFonts w:ascii="仿宋" w:hAnsi="仿宋" w:eastAsia="仿宋" w:cs="仿宋"/>
          <w:snapToGrid w:val="0"/>
          <w:color w:val="000000"/>
          <w:kern w:val="0"/>
          <w:sz w:val="43"/>
          <w:szCs w:val="43"/>
        </w:rPr>
      </w:pPr>
      <w:bookmarkStart w:id="12" w:name="_Toc17893"/>
      <w:bookmarkStart w:id="13" w:name="_Toc7502"/>
      <w:bookmarkStart w:id="14" w:name="_Toc28454"/>
      <w:bookmarkStart w:id="15" w:name="_Toc3153"/>
      <w:bookmarkStart w:id="16" w:name="_Toc21521"/>
      <w:r>
        <w:rPr>
          <w:rFonts w:ascii="Times New Roman" w:hAnsi="Times New Roman" w:eastAsia="Times New Roman" w:cs="Times New Roman"/>
          <w:snapToGrid w:val="0"/>
          <w:color w:val="000000"/>
          <w:spacing w:val="-1"/>
          <w:kern w:val="0"/>
          <w:sz w:val="43"/>
          <w:szCs w:val="43"/>
        </w:rPr>
        <w:t>202</w:t>
      </w:r>
      <w:r>
        <w:rPr>
          <w:rFonts w:hint="eastAsia" w:cs="Times New Roman"/>
          <w:snapToGrid w:val="0"/>
          <w:color w:val="000000"/>
          <w:spacing w:val="-1"/>
          <w:kern w:val="0"/>
          <w:sz w:val="43"/>
          <w:szCs w:val="43"/>
          <w:lang w:val="en-US" w:eastAsia="zh-CN"/>
        </w:rPr>
        <w:t>3</w:t>
      </w:r>
      <w:r>
        <w:rPr>
          <w:rFonts w:ascii="Times New Roman" w:hAnsi="Times New Roman" w:eastAsia="Times New Roman" w:cs="Times New Roman"/>
          <w:snapToGrid w:val="0"/>
          <w:color w:val="000000"/>
          <w:spacing w:val="-6"/>
          <w:kern w:val="0"/>
          <w:sz w:val="43"/>
          <w:szCs w:val="43"/>
        </w:rPr>
        <w:t xml:space="preserve"> </w:t>
      </w:r>
      <w:r>
        <w:rPr>
          <w:rFonts w:ascii="仿宋" w:hAnsi="仿宋" w:eastAsia="仿宋" w:cs="仿宋"/>
          <w:snapToGrid w:val="0"/>
          <w:color w:val="000000"/>
          <w:spacing w:val="-1"/>
          <w:kern w:val="0"/>
          <w:sz w:val="43"/>
          <w:szCs w:val="43"/>
        </w:rPr>
        <w:t>年</w:t>
      </w:r>
      <w:r>
        <w:rPr>
          <w:rFonts w:ascii="仿宋" w:hAnsi="仿宋" w:eastAsia="仿宋" w:cs="仿宋"/>
          <w:snapToGrid w:val="0"/>
          <w:color w:val="000000"/>
          <w:spacing w:val="-10"/>
          <w:kern w:val="0"/>
          <w:sz w:val="43"/>
          <w:szCs w:val="43"/>
        </w:rPr>
        <w:t xml:space="preserve"> </w:t>
      </w:r>
      <w:r>
        <w:rPr>
          <w:rFonts w:ascii="Times New Roman" w:hAnsi="Times New Roman" w:eastAsia="Times New Roman" w:cs="Times New Roman"/>
          <w:snapToGrid w:val="0"/>
          <w:color w:val="000000"/>
          <w:spacing w:val="-1"/>
          <w:kern w:val="0"/>
          <w:sz w:val="43"/>
          <w:szCs w:val="43"/>
        </w:rPr>
        <w:t>12</w:t>
      </w:r>
      <w:r>
        <w:rPr>
          <w:rFonts w:ascii="Times New Roman" w:hAnsi="Times New Roman" w:eastAsia="Times New Roman" w:cs="Times New Roman"/>
          <w:snapToGrid w:val="0"/>
          <w:color w:val="000000"/>
          <w:spacing w:val="-6"/>
          <w:kern w:val="0"/>
          <w:sz w:val="43"/>
          <w:szCs w:val="43"/>
        </w:rPr>
        <w:t xml:space="preserve"> </w:t>
      </w:r>
      <w:r>
        <w:rPr>
          <w:rFonts w:ascii="仿宋" w:hAnsi="仿宋" w:eastAsia="仿宋" w:cs="仿宋"/>
          <w:snapToGrid w:val="0"/>
          <w:color w:val="000000"/>
          <w:kern w:val="0"/>
          <w:sz w:val="43"/>
          <w:szCs w:val="43"/>
        </w:rPr>
        <w:t>月</w:t>
      </w:r>
      <w:bookmarkEnd w:id="12"/>
      <w:bookmarkEnd w:id="13"/>
      <w:bookmarkEnd w:id="14"/>
      <w:bookmarkEnd w:id="15"/>
      <w:bookmarkEnd w:id="16"/>
    </w:p>
    <w:p w14:paraId="1544879E">
      <w:pPr>
        <w:keepNext w:val="0"/>
        <w:keepLines w:val="0"/>
        <w:pageBreakBefore w:val="0"/>
        <w:kinsoku/>
        <w:wordWrap/>
        <w:overflowPunct/>
        <w:bidi w:val="0"/>
        <w:spacing w:before="0" w:beforeLines="0" w:after="0" w:afterLines="0" w:line="240" w:lineRule="auto"/>
        <w:ind w:left="0" w:leftChars="0" w:right="0" w:rightChars="0" w:firstLine="0" w:firstLineChars="0"/>
        <w:jc w:val="center"/>
        <w:outlineLvl w:val="9"/>
        <w:rPr>
          <w:rFonts w:ascii="宋体" w:hAnsi="宋体" w:eastAsia="宋体" w:cs="Times New Roman"/>
          <w:kern w:val="2"/>
          <w:sz w:val="21"/>
          <w:szCs w:val="24"/>
          <w:lang w:val="en-US" w:eastAsia="zh-CN" w:bidi="ar-SA"/>
        </w:rPr>
        <w:sectPr>
          <w:pgSz w:w="11906" w:h="16838"/>
          <w:pgMar w:top="1440" w:right="1800" w:bottom="1440" w:left="1800" w:header="851" w:footer="992" w:gutter="0"/>
          <w:pgNumType w:fmt="numberInDash" w:start="1"/>
          <w:cols w:space="425" w:num="1"/>
          <w:docGrid w:type="lines" w:linePitch="312" w:charSpace="0"/>
        </w:sectPr>
      </w:pPr>
    </w:p>
    <w:p w14:paraId="64978219">
      <w:pPr>
        <w:pStyle w:val="10"/>
        <w:tabs>
          <w:tab w:val="right" w:leader="dot" w:pos="8306"/>
        </w:tabs>
        <w:jc w:val="center"/>
        <w:rPr>
          <w:rFonts w:hint="eastAsia" w:ascii="方正小标宋简体" w:hAnsi="方正小标宋简体" w:eastAsia="方正小标宋简体" w:cs="方正小标宋简体"/>
          <w:sz w:val="52"/>
          <w:szCs w:val="52"/>
          <w:lang w:val="en-US" w:eastAsia="zh-CN"/>
        </w:rPr>
      </w:pPr>
      <w:r>
        <w:rPr>
          <w:rFonts w:hint="eastAsia" w:ascii="方正小标宋简体" w:hAnsi="方正小标宋简体" w:eastAsia="方正小标宋简体" w:cs="方正小标宋简体"/>
          <w:sz w:val="52"/>
          <w:szCs w:val="52"/>
          <w:lang w:val="en-US" w:eastAsia="zh-CN"/>
        </w:rPr>
        <w:t>目  录</w:t>
      </w:r>
    </w:p>
    <w:p w14:paraId="6DAB8E10">
      <w:pPr>
        <w:rPr>
          <w:rFonts w:hint="eastAsia"/>
          <w:lang w:val="en-US" w:eastAsia="zh-CN"/>
        </w:rPr>
      </w:pPr>
    </w:p>
    <w:p w14:paraId="43A840E5">
      <w:pPr>
        <w:pStyle w:val="10"/>
        <w:tabs>
          <w:tab w:val="right" w:leader="dot" w:pos="8306"/>
        </w:tabs>
      </w:pPr>
      <w:r>
        <w:rPr>
          <w:rFonts w:hint="eastAsia" w:ascii="华文楷体" w:hAnsi="华文楷体" w:eastAsia="华文楷体" w:cs="华文楷体"/>
          <w:sz w:val="30"/>
          <w:szCs w:val="30"/>
        </w:rPr>
        <w:fldChar w:fldCharType="begin"/>
      </w:r>
      <w:r>
        <w:rPr>
          <w:rFonts w:hint="eastAsia" w:ascii="华文楷体" w:hAnsi="华文楷体" w:eastAsia="华文楷体" w:cs="华文楷体"/>
          <w:sz w:val="30"/>
          <w:szCs w:val="30"/>
        </w:rPr>
        <w:instrText xml:space="preserve">TOC \t "公文一级,1,年报二级,2,标题 1,5,标题 2,5" \h</w:instrText>
      </w:r>
      <w:r>
        <w:rPr>
          <w:rFonts w:hint="eastAsia" w:ascii="华文楷体" w:hAnsi="华文楷体" w:eastAsia="华文楷体" w:cs="华文楷体"/>
          <w:sz w:val="30"/>
          <w:szCs w:val="30"/>
        </w:rPr>
        <w:fldChar w:fldCharType="separate"/>
      </w: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_Toc28816 </w:instrText>
      </w:r>
      <w:r>
        <w:rPr>
          <w:rFonts w:hint="eastAsia" w:ascii="华文楷体" w:hAnsi="华文楷体" w:eastAsia="华文楷体" w:cs="华文楷体"/>
          <w:szCs w:val="30"/>
        </w:rPr>
        <w:fldChar w:fldCharType="separate"/>
      </w:r>
      <w:r>
        <w:rPr>
          <w:rFonts w:hint="eastAsia"/>
          <w:lang w:val="en-US" w:eastAsia="zh-CN"/>
        </w:rPr>
        <w:t>1 基本情况</w:t>
      </w:r>
      <w:r>
        <w:tab/>
      </w:r>
      <w:r>
        <w:fldChar w:fldCharType="begin"/>
      </w:r>
      <w:r>
        <w:instrText xml:space="preserve"> PAGEREF _Toc28816 \h </w:instrText>
      </w:r>
      <w:r>
        <w:fldChar w:fldCharType="separate"/>
      </w:r>
      <w:r>
        <w:t>1</w:t>
      </w:r>
      <w:r>
        <w:fldChar w:fldCharType="end"/>
      </w:r>
      <w:r>
        <w:rPr>
          <w:rFonts w:hint="eastAsia" w:ascii="华文楷体" w:hAnsi="华文楷体" w:eastAsia="华文楷体" w:cs="华文楷体"/>
          <w:szCs w:val="30"/>
        </w:rPr>
        <w:fldChar w:fldCharType="end"/>
      </w:r>
    </w:p>
    <w:p w14:paraId="07A63012">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_Toc9232 </w:instrText>
      </w:r>
      <w:r>
        <w:rPr>
          <w:rFonts w:hint="eastAsia" w:ascii="华文楷体" w:hAnsi="华文楷体" w:eastAsia="华文楷体" w:cs="华文楷体"/>
          <w:szCs w:val="30"/>
        </w:rPr>
        <w:fldChar w:fldCharType="separate"/>
      </w:r>
      <w:r>
        <w:rPr>
          <w:rFonts w:hint="eastAsia"/>
          <w:lang w:val="en-US" w:eastAsia="zh-CN"/>
        </w:rPr>
        <w:t>1.1 规模和结构</w:t>
      </w:r>
      <w:r>
        <w:tab/>
      </w:r>
      <w:r>
        <w:fldChar w:fldCharType="begin"/>
      </w:r>
      <w:r>
        <w:instrText xml:space="preserve"> PAGEREF _Toc9232 \h </w:instrText>
      </w:r>
      <w:r>
        <w:fldChar w:fldCharType="separate"/>
      </w:r>
      <w:r>
        <w:t>1</w:t>
      </w:r>
      <w:r>
        <w:fldChar w:fldCharType="end"/>
      </w:r>
      <w:r>
        <w:rPr>
          <w:rFonts w:hint="eastAsia" w:ascii="华文楷体" w:hAnsi="华文楷体" w:eastAsia="华文楷体" w:cs="华文楷体"/>
          <w:szCs w:val="30"/>
        </w:rPr>
        <w:fldChar w:fldCharType="end"/>
      </w:r>
    </w:p>
    <w:p w14:paraId="29F60404">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_Toc15419 </w:instrText>
      </w:r>
      <w:r>
        <w:rPr>
          <w:rFonts w:hint="eastAsia" w:ascii="华文楷体" w:hAnsi="华文楷体" w:eastAsia="华文楷体" w:cs="华文楷体"/>
          <w:szCs w:val="30"/>
        </w:rPr>
        <w:fldChar w:fldCharType="separate"/>
      </w:r>
      <w:r>
        <w:rPr>
          <w:rFonts w:hint="eastAsia"/>
          <w:lang w:val="en-US" w:eastAsia="zh-CN"/>
        </w:rPr>
        <w:t>1.2 设施设备</w:t>
      </w:r>
      <w:r>
        <w:tab/>
      </w:r>
      <w:r>
        <w:fldChar w:fldCharType="begin"/>
      </w:r>
      <w:r>
        <w:instrText xml:space="preserve"> PAGEREF _Toc15419 \h </w:instrText>
      </w:r>
      <w:r>
        <w:fldChar w:fldCharType="separate"/>
      </w:r>
      <w:r>
        <w:t>4</w:t>
      </w:r>
      <w:r>
        <w:fldChar w:fldCharType="end"/>
      </w:r>
      <w:r>
        <w:rPr>
          <w:rFonts w:hint="eastAsia" w:ascii="华文楷体" w:hAnsi="华文楷体" w:eastAsia="华文楷体" w:cs="华文楷体"/>
          <w:szCs w:val="30"/>
        </w:rPr>
        <w:fldChar w:fldCharType="end"/>
      </w:r>
    </w:p>
    <w:p w14:paraId="227375F0">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_Toc7014 </w:instrText>
      </w:r>
      <w:r>
        <w:rPr>
          <w:rFonts w:hint="eastAsia" w:ascii="华文楷体" w:hAnsi="华文楷体" w:eastAsia="华文楷体" w:cs="华文楷体"/>
          <w:szCs w:val="30"/>
        </w:rPr>
        <w:fldChar w:fldCharType="separate"/>
      </w:r>
      <w:r>
        <w:rPr>
          <w:rFonts w:hint="eastAsia"/>
          <w:lang w:val="en-US" w:eastAsia="zh-CN"/>
        </w:rPr>
        <w:t>1.3 教师队伍</w:t>
      </w:r>
      <w:r>
        <w:tab/>
      </w:r>
      <w:r>
        <w:fldChar w:fldCharType="begin"/>
      </w:r>
      <w:r>
        <w:instrText xml:space="preserve"> PAGEREF _Toc7014 \h </w:instrText>
      </w:r>
      <w:r>
        <w:fldChar w:fldCharType="separate"/>
      </w:r>
      <w:r>
        <w:t>5</w:t>
      </w:r>
      <w:r>
        <w:fldChar w:fldCharType="end"/>
      </w:r>
      <w:r>
        <w:rPr>
          <w:rFonts w:hint="eastAsia" w:ascii="华文楷体" w:hAnsi="华文楷体" w:eastAsia="华文楷体" w:cs="华文楷体"/>
          <w:szCs w:val="30"/>
        </w:rPr>
        <w:fldChar w:fldCharType="end"/>
      </w:r>
    </w:p>
    <w:p w14:paraId="79FB5FD6">
      <w:pPr>
        <w:pStyle w:val="10"/>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_Toc2001 </w:instrText>
      </w:r>
      <w:r>
        <w:rPr>
          <w:rFonts w:hint="eastAsia" w:ascii="华文楷体" w:hAnsi="华文楷体" w:eastAsia="华文楷体" w:cs="华文楷体"/>
          <w:szCs w:val="30"/>
        </w:rPr>
        <w:fldChar w:fldCharType="separate"/>
      </w:r>
      <w:r>
        <w:rPr>
          <w:rFonts w:hint="eastAsia"/>
          <w:lang w:val="en-US" w:eastAsia="zh-CN"/>
        </w:rPr>
        <w:t>2 人才培养</w:t>
      </w:r>
      <w:r>
        <w:tab/>
      </w:r>
      <w:r>
        <w:fldChar w:fldCharType="begin"/>
      </w:r>
      <w:r>
        <w:instrText xml:space="preserve"> PAGEREF _Toc2001 \h </w:instrText>
      </w:r>
      <w:r>
        <w:fldChar w:fldCharType="separate"/>
      </w:r>
      <w:r>
        <w:t>6</w:t>
      </w:r>
      <w:r>
        <w:fldChar w:fldCharType="end"/>
      </w:r>
      <w:r>
        <w:rPr>
          <w:rFonts w:hint="eastAsia" w:ascii="华文楷体" w:hAnsi="华文楷体" w:eastAsia="华文楷体" w:cs="华文楷体"/>
          <w:szCs w:val="30"/>
        </w:rPr>
        <w:fldChar w:fldCharType="end"/>
      </w:r>
    </w:p>
    <w:p w14:paraId="49A2C952">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_Toc25080 </w:instrText>
      </w:r>
      <w:r>
        <w:rPr>
          <w:rFonts w:hint="eastAsia" w:ascii="华文楷体" w:hAnsi="华文楷体" w:eastAsia="华文楷体" w:cs="华文楷体"/>
          <w:szCs w:val="30"/>
        </w:rPr>
        <w:fldChar w:fldCharType="separate"/>
      </w:r>
      <w:r>
        <w:rPr>
          <w:rFonts w:hint="eastAsia"/>
          <w:lang w:val="en-US" w:eastAsia="zh-CN"/>
        </w:rPr>
        <w:t>2.1 专业设置</w:t>
      </w:r>
      <w:r>
        <w:tab/>
      </w:r>
      <w:r>
        <w:fldChar w:fldCharType="begin"/>
      </w:r>
      <w:r>
        <w:instrText xml:space="preserve"> PAGEREF _Toc25080 \h </w:instrText>
      </w:r>
      <w:r>
        <w:fldChar w:fldCharType="separate"/>
      </w:r>
      <w:r>
        <w:t>6</w:t>
      </w:r>
      <w:r>
        <w:fldChar w:fldCharType="end"/>
      </w:r>
      <w:r>
        <w:rPr>
          <w:rFonts w:hint="eastAsia" w:ascii="华文楷体" w:hAnsi="华文楷体" w:eastAsia="华文楷体" w:cs="华文楷体"/>
          <w:szCs w:val="30"/>
        </w:rPr>
        <w:fldChar w:fldCharType="end"/>
      </w:r>
    </w:p>
    <w:p w14:paraId="445CAABE">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_Toc32188 </w:instrText>
      </w:r>
      <w:r>
        <w:rPr>
          <w:rFonts w:hint="eastAsia" w:ascii="华文楷体" w:hAnsi="华文楷体" w:eastAsia="华文楷体" w:cs="华文楷体"/>
          <w:szCs w:val="30"/>
        </w:rPr>
        <w:fldChar w:fldCharType="separate"/>
      </w:r>
      <w:r>
        <w:rPr>
          <w:rFonts w:hint="default"/>
          <w:lang w:val="en-US" w:eastAsia="zh-CN"/>
        </w:rPr>
        <w:t>2.2</w:t>
      </w:r>
      <w:r>
        <w:rPr>
          <w:rFonts w:hint="eastAsia"/>
          <w:lang w:val="en-US" w:eastAsia="zh-CN"/>
        </w:rPr>
        <w:t xml:space="preserve"> </w:t>
      </w:r>
      <w:r>
        <w:rPr>
          <w:rFonts w:hint="default"/>
          <w:lang w:val="en-US" w:eastAsia="zh-CN"/>
        </w:rPr>
        <w:t>立德树人</w:t>
      </w:r>
      <w:r>
        <w:tab/>
      </w:r>
      <w:r>
        <w:fldChar w:fldCharType="begin"/>
      </w:r>
      <w:r>
        <w:instrText xml:space="preserve"> PAGEREF _Toc32188 \h </w:instrText>
      </w:r>
      <w:r>
        <w:fldChar w:fldCharType="separate"/>
      </w:r>
      <w:r>
        <w:t>8</w:t>
      </w:r>
      <w:r>
        <w:fldChar w:fldCharType="end"/>
      </w:r>
      <w:r>
        <w:rPr>
          <w:rFonts w:hint="eastAsia" w:ascii="华文楷体" w:hAnsi="华文楷体" w:eastAsia="华文楷体" w:cs="华文楷体"/>
          <w:szCs w:val="30"/>
        </w:rPr>
        <w:fldChar w:fldCharType="end"/>
      </w:r>
    </w:p>
    <w:p w14:paraId="25017BCA">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_Toc21108 </w:instrText>
      </w:r>
      <w:r>
        <w:rPr>
          <w:rFonts w:hint="eastAsia" w:ascii="华文楷体" w:hAnsi="华文楷体" w:eastAsia="华文楷体" w:cs="华文楷体"/>
          <w:szCs w:val="30"/>
        </w:rPr>
        <w:fldChar w:fldCharType="separate"/>
      </w:r>
      <w:r>
        <w:rPr>
          <w:rFonts w:hint="default"/>
          <w:lang w:val="en-US" w:eastAsia="zh-CN"/>
        </w:rPr>
        <w:t>2.3</w:t>
      </w:r>
      <w:r>
        <w:rPr>
          <w:rFonts w:hint="eastAsia"/>
          <w:lang w:val="en-US" w:eastAsia="zh-CN"/>
        </w:rPr>
        <w:t xml:space="preserve"> </w:t>
      </w:r>
      <w:r>
        <w:rPr>
          <w:rFonts w:hint="default"/>
          <w:lang w:val="en-US" w:eastAsia="zh-CN"/>
        </w:rPr>
        <w:t>在校体验</w:t>
      </w:r>
      <w:r>
        <w:tab/>
      </w:r>
      <w:r>
        <w:fldChar w:fldCharType="begin"/>
      </w:r>
      <w:r>
        <w:instrText xml:space="preserve"> PAGEREF _Toc21108 \h </w:instrText>
      </w:r>
      <w:r>
        <w:fldChar w:fldCharType="separate"/>
      </w:r>
      <w:r>
        <w:t>10</w:t>
      </w:r>
      <w:r>
        <w:fldChar w:fldCharType="end"/>
      </w:r>
      <w:r>
        <w:rPr>
          <w:rFonts w:hint="eastAsia" w:ascii="华文楷体" w:hAnsi="华文楷体" w:eastAsia="华文楷体" w:cs="华文楷体"/>
          <w:szCs w:val="30"/>
        </w:rPr>
        <w:fldChar w:fldCharType="end"/>
      </w:r>
    </w:p>
    <w:p w14:paraId="35AA305A">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_Toc10292 </w:instrText>
      </w:r>
      <w:r>
        <w:rPr>
          <w:rFonts w:hint="eastAsia" w:ascii="华文楷体" w:hAnsi="华文楷体" w:eastAsia="华文楷体" w:cs="华文楷体"/>
          <w:szCs w:val="30"/>
        </w:rPr>
        <w:fldChar w:fldCharType="separate"/>
      </w:r>
      <w:r>
        <w:rPr>
          <w:rFonts w:hint="default"/>
          <w:lang w:val="en-US" w:eastAsia="zh-CN"/>
        </w:rPr>
        <w:t>2.4</w:t>
      </w:r>
      <w:r>
        <w:rPr>
          <w:rFonts w:hint="eastAsia"/>
          <w:lang w:val="en-US" w:eastAsia="zh-CN"/>
        </w:rPr>
        <w:t xml:space="preserve"> </w:t>
      </w:r>
      <w:r>
        <w:rPr>
          <w:rFonts w:hint="default"/>
          <w:lang w:val="en-US" w:eastAsia="zh-CN"/>
        </w:rPr>
        <w:t>就业质量</w:t>
      </w:r>
      <w:r>
        <w:tab/>
      </w:r>
      <w:r>
        <w:fldChar w:fldCharType="begin"/>
      </w:r>
      <w:r>
        <w:instrText xml:space="preserve"> PAGEREF _Toc10292 \h </w:instrText>
      </w:r>
      <w:r>
        <w:fldChar w:fldCharType="separate"/>
      </w:r>
      <w:r>
        <w:t>12</w:t>
      </w:r>
      <w:r>
        <w:fldChar w:fldCharType="end"/>
      </w:r>
      <w:r>
        <w:rPr>
          <w:rFonts w:hint="eastAsia" w:ascii="华文楷体" w:hAnsi="华文楷体" w:eastAsia="华文楷体" w:cs="华文楷体"/>
          <w:szCs w:val="30"/>
        </w:rPr>
        <w:fldChar w:fldCharType="end"/>
      </w:r>
    </w:p>
    <w:p w14:paraId="27A39A8F">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_Toc1896 </w:instrText>
      </w:r>
      <w:r>
        <w:rPr>
          <w:rFonts w:hint="eastAsia" w:ascii="华文楷体" w:hAnsi="华文楷体" w:eastAsia="华文楷体" w:cs="华文楷体"/>
          <w:szCs w:val="30"/>
        </w:rPr>
        <w:fldChar w:fldCharType="separate"/>
      </w:r>
      <w:r>
        <w:rPr>
          <w:rFonts w:hint="default"/>
          <w:lang w:val="en-US" w:eastAsia="zh-CN"/>
        </w:rPr>
        <w:t>2.5</w:t>
      </w:r>
      <w:r>
        <w:rPr>
          <w:rFonts w:hint="eastAsia"/>
          <w:lang w:val="en-US" w:eastAsia="zh-CN"/>
        </w:rPr>
        <w:t xml:space="preserve"> </w:t>
      </w:r>
      <w:r>
        <w:rPr>
          <w:rFonts w:hint="default"/>
          <w:lang w:val="en-US" w:eastAsia="zh-CN"/>
        </w:rPr>
        <w:t>升学情况</w:t>
      </w:r>
      <w:r>
        <w:tab/>
      </w:r>
      <w:r>
        <w:fldChar w:fldCharType="begin"/>
      </w:r>
      <w:r>
        <w:instrText xml:space="preserve"> PAGEREF _Toc1896 \h </w:instrText>
      </w:r>
      <w:r>
        <w:fldChar w:fldCharType="separate"/>
      </w:r>
      <w:r>
        <w:t>14</w:t>
      </w:r>
      <w:r>
        <w:fldChar w:fldCharType="end"/>
      </w:r>
      <w:r>
        <w:rPr>
          <w:rFonts w:hint="eastAsia" w:ascii="华文楷体" w:hAnsi="华文楷体" w:eastAsia="华文楷体" w:cs="华文楷体"/>
          <w:szCs w:val="30"/>
        </w:rPr>
        <w:fldChar w:fldCharType="end"/>
      </w:r>
    </w:p>
    <w:p w14:paraId="6D7B5719">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_Toc29663 </w:instrText>
      </w:r>
      <w:r>
        <w:rPr>
          <w:rFonts w:hint="eastAsia" w:ascii="华文楷体" w:hAnsi="华文楷体" w:eastAsia="华文楷体" w:cs="华文楷体"/>
          <w:szCs w:val="30"/>
        </w:rPr>
        <w:fldChar w:fldCharType="separate"/>
      </w:r>
      <w:r>
        <w:rPr>
          <w:rFonts w:hint="default"/>
          <w:lang w:val="en-US" w:eastAsia="zh-CN"/>
        </w:rPr>
        <w:t>2.</w:t>
      </w:r>
      <w:r>
        <w:rPr>
          <w:rFonts w:hint="eastAsia"/>
          <w:lang w:val="en-US" w:eastAsia="zh-CN"/>
        </w:rPr>
        <w:t xml:space="preserve">6 </w:t>
      </w:r>
      <w:r>
        <w:rPr>
          <w:rFonts w:hint="default"/>
          <w:lang w:val="en-US" w:eastAsia="zh-CN"/>
        </w:rPr>
        <w:t>技能大赛</w:t>
      </w:r>
      <w:r>
        <w:tab/>
      </w:r>
      <w:r>
        <w:fldChar w:fldCharType="begin"/>
      </w:r>
      <w:r>
        <w:instrText xml:space="preserve"> PAGEREF _Toc29663 \h </w:instrText>
      </w:r>
      <w:r>
        <w:fldChar w:fldCharType="separate"/>
      </w:r>
      <w:r>
        <w:t>15</w:t>
      </w:r>
      <w:r>
        <w:fldChar w:fldCharType="end"/>
      </w:r>
      <w:r>
        <w:rPr>
          <w:rFonts w:hint="eastAsia" w:ascii="华文楷体" w:hAnsi="华文楷体" w:eastAsia="华文楷体" w:cs="华文楷体"/>
          <w:szCs w:val="30"/>
        </w:rPr>
        <w:fldChar w:fldCharType="end"/>
      </w:r>
    </w:p>
    <w:p w14:paraId="4231C2E1">
      <w:pPr>
        <w:pStyle w:val="10"/>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_Toc19951 </w:instrText>
      </w:r>
      <w:r>
        <w:rPr>
          <w:rFonts w:hint="eastAsia" w:ascii="华文楷体" w:hAnsi="华文楷体" w:eastAsia="华文楷体" w:cs="华文楷体"/>
          <w:szCs w:val="30"/>
        </w:rPr>
        <w:fldChar w:fldCharType="separate"/>
      </w:r>
      <w:r>
        <w:rPr>
          <w:rFonts w:hint="eastAsia"/>
          <w:lang w:val="en-US" w:eastAsia="zh-CN"/>
        </w:rPr>
        <w:t>3 服务贡献</w:t>
      </w:r>
      <w:r>
        <w:tab/>
      </w:r>
      <w:r>
        <w:fldChar w:fldCharType="begin"/>
      </w:r>
      <w:r>
        <w:instrText xml:space="preserve"> PAGEREF _Toc19951 \h </w:instrText>
      </w:r>
      <w:r>
        <w:fldChar w:fldCharType="separate"/>
      </w:r>
      <w:r>
        <w:t>17</w:t>
      </w:r>
      <w:r>
        <w:fldChar w:fldCharType="end"/>
      </w:r>
      <w:r>
        <w:rPr>
          <w:rFonts w:hint="eastAsia" w:ascii="华文楷体" w:hAnsi="华文楷体" w:eastAsia="华文楷体" w:cs="华文楷体"/>
          <w:szCs w:val="30"/>
        </w:rPr>
        <w:fldChar w:fldCharType="end"/>
      </w:r>
    </w:p>
    <w:p w14:paraId="23FD0A27">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_Toc26704 </w:instrText>
      </w:r>
      <w:r>
        <w:rPr>
          <w:rFonts w:hint="eastAsia" w:ascii="华文楷体" w:hAnsi="华文楷体" w:eastAsia="华文楷体" w:cs="华文楷体"/>
          <w:szCs w:val="30"/>
        </w:rPr>
        <w:fldChar w:fldCharType="separate"/>
      </w:r>
      <w:r>
        <w:rPr>
          <w:rFonts w:hint="eastAsia"/>
          <w:lang w:val="en-US" w:eastAsia="zh-CN"/>
        </w:rPr>
        <w:t>3.1 服务经济</w:t>
      </w:r>
      <w:r>
        <w:tab/>
      </w:r>
      <w:r>
        <w:fldChar w:fldCharType="begin"/>
      </w:r>
      <w:r>
        <w:instrText xml:space="preserve"> PAGEREF _Toc26704 \h </w:instrText>
      </w:r>
      <w:r>
        <w:fldChar w:fldCharType="separate"/>
      </w:r>
      <w:r>
        <w:t>17</w:t>
      </w:r>
      <w:r>
        <w:fldChar w:fldCharType="end"/>
      </w:r>
      <w:r>
        <w:rPr>
          <w:rFonts w:hint="eastAsia" w:ascii="华文楷体" w:hAnsi="华文楷体" w:eastAsia="华文楷体" w:cs="华文楷体"/>
          <w:szCs w:val="30"/>
        </w:rPr>
        <w:fldChar w:fldCharType="end"/>
      </w:r>
    </w:p>
    <w:p w14:paraId="1020C4CA">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_Toc19114 </w:instrText>
      </w:r>
      <w:r>
        <w:rPr>
          <w:rFonts w:hint="eastAsia" w:ascii="华文楷体" w:hAnsi="华文楷体" w:eastAsia="华文楷体" w:cs="华文楷体"/>
          <w:szCs w:val="30"/>
        </w:rPr>
        <w:fldChar w:fldCharType="separate"/>
      </w:r>
      <w:r>
        <w:rPr>
          <w:rFonts w:hint="eastAsia"/>
          <w:lang w:val="en-US" w:eastAsia="zh-CN"/>
        </w:rPr>
        <w:t>3.2 服务社会</w:t>
      </w:r>
      <w:r>
        <w:tab/>
      </w:r>
      <w:r>
        <w:fldChar w:fldCharType="begin"/>
      </w:r>
      <w:r>
        <w:instrText xml:space="preserve"> PAGEREF _Toc19114 \h </w:instrText>
      </w:r>
      <w:r>
        <w:fldChar w:fldCharType="separate"/>
      </w:r>
      <w:r>
        <w:t>18</w:t>
      </w:r>
      <w:r>
        <w:fldChar w:fldCharType="end"/>
      </w:r>
      <w:r>
        <w:rPr>
          <w:rFonts w:hint="eastAsia" w:ascii="华文楷体" w:hAnsi="华文楷体" w:eastAsia="华文楷体" w:cs="华文楷体"/>
          <w:szCs w:val="30"/>
        </w:rPr>
        <w:fldChar w:fldCharType="end"/>
      </w:r>
    </w:p>
    <w:p w14:paraId="6633C695">
      <w:pPr>
        <w:pStyle w:val="10"/>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_Toc19863 </w:instrText>
      </w:r>
      <w:r>
        <w:rPr>
          <w:rFonts w:hint="eastAsia" w:ascii="华文楷体" w:hAnsi="华文楷体" w:eastAsia="华文楷体" w:cs="华文楷体"/>
          <w:szCs w:val="30"/>
        </w:rPr>
        <w:fldChar w:fldCharType="separate"/>
      </w:r>
      <w:r>
        <w:rPr>
          <w:rFonts w:hint="eastAsia"/>
          <w:lang w:val="en-US" w:eastAsia="zh-CN"/>
        </w:rPr>
        <w:t>4 文化传承</w:t>
      </w:r>
      <w:r>
        <w:tab/>
      </w:r>
      <w:r>
        <w:fldChar w:fldCharType="begin"/>
      </w:r>
      <w:r>
        <w:instrText xml:space="preserve"> PAGEREF _Toc19863 \h </w:instrText>
      </w:r>
      <w:r>
        <w:fldChar w:fldCharType="separate"/>
      </w:r>
      <w:r>
        <w:t>21</w:t>
      </w:r>
      <w:r>
        <w:fldChar w:fldCharType="end"/>
      </w:r>
      <w:r>
        <w:rPr>
          <w:rFonts w:hint="eastAsia" w:ascii="华文楷体" w:hAnsi="华文楷体" w:eastAsia="华文楷体" w:cs="华文楷体"/>
          <w:szCs w:val="30"/>
        </w:rPr>
        <w:fldChar w:fldCharType="end"/>
      </w:r>
    </w:p>
    <w:p w14:paraId="2657987C">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_Toc19348 </w:instrText>
      </w:r>
      <w:r>
        <w:rPr>
          <w:rFonts w:hint="eastAsia" w:ascii="华文楷体" w:hAnsi="华文楷体" w:eastAsia="华文楷体" w:cs="华文楷体"/>
          <w:szCs w:val="30"/>
        </w:rPr>
        <w:fldChar w:fldCharType="separate"/>
      </w:r>
      <w:r>
        <w:rPr>
          <w:rFonts w:hint="eastAsia"/>
          <w:lang w:val="en-US" w:eastAsia="zh-CN"/>
        </w:rPr>
        <w:t>4.1 工匠精神</w:t>
      </w:r>
      <w:r>
        <w:tab/>
      </w:r>
      <w:r>
        <w:fldChar w:fldCharType="begin"/>
      </w:r>
      <w:r>
        <w:instrText xml:space="preserve"> PAGEREF _Toc19348 \h </w:instrText>
      </w:r>
      <w:r>
        <w:fldChar w:fldCharType="separate"/>
      </w:r>
      <w:r>
        <w:t>21</w:t>
      </w:r>
      <w:r>
        <w:fldChar w:fldCharType="end"/>
      </w:r>
      <w:r>
        <w:rPr>
          <w:rFonts w:hint="eastAsia" w:ascii="华文楷体" w:hAnsi="华文楷体" w:eastAsia="华文楷体" w:cs="华文楷体"/>
          <w:szCs w:val="30"/>
        </w:rPr>
        <w:fldChar w:fldCharType="end"/>
      </w:r>
    </w:p>
    <w:p w14:paraId="5851C39B">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_Toc28482 </w:instrText>
      </w:r>
      <w:r>
        <w:rPr>
          <w:rFonts w:hint="eastAsia" w:ascii="华文楷体" w:hAnsi="华文楷体" w:eastAsia="华文楷体" w:cs="华文楷体"/>
          <w:szCs w:val="30"/>
        </w:rPr>
        <w:fldChar w:fldCharType="separate"/>
      </w:r>
      <w:r>
        <w:rPr>
          <w:rFonts w:hint="eastAsia"/>
          <w:lang w:val="en-US" w:eastAsia="zh-CN"/>
        </w:rPr>
        <w:t>4.2 红色文化</w:t>
      </w:r>
      <w:r>
        <w:tab/>
      </w:r>
      <w:r>
        <w:fldChar w:fldCharType="begin"/>
      </w:r>
      <w:r>
        <w:instrText xml:space="preserve"> PAGEREF _Toc28482 \h </w:instrText>
      </w:r>
      <w:r>
        <w:fldChar w:fldCharType="separate"/>
      </w:r>
      <w:r>
        <w:t>22</w:t>
      </w:r>
      <w:r>
        <w:fldChar w:fldCharType="end"/>
      </w:r>
      <w:r>
        <w:rPr>
          <w:rFonts w:hint="eastAsia" w:ascii="华文楷体" w:hAnsi="华文楷体" w:eastAsia="华文楷体" w:cs="华文楷体"/>
          <w:szCs w:val="30"/>
        </w:rPr>
        <w:fldChar w:fldCharType="end"/>
      </w:r>
    </w:p>
    <w:p w14:paraId="6BF7CEC8">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_Toc21880 </w:instrText>
      </w:r>
      <w:r>
        <w:rPr>
          <w:rFonts w:hint="eastAsia" w:ascii="华文楷体" w:hAnsi="华文楷体" w:eastAsia="华文楷体" w:cs="华文楷体"/>
          <w:szCs w:val="30"/>
        </w:rPr>
        <w:fldChar w:fldCharType="separate"/>
      </w:r>
      <w:r>
        <w:rPr>
          <w:rFonts w:hint="eastAsia"/>
          <w:lang w:val="en-US" w:eastAsia="zh-CN"/>
        </w:rPr>
        <w:t>4.3 社团建设</w:t>
      </w:r>
      <w:r>
        <w:tab/>
      </w:r>
      <w:r>
        <w:fldChar w:fldCharType="begin"/>
      </w:r>
      <w:r>
        <w:instrText xml:space="preserve"> PAGEREF _Toc21880 \h </w:instrText>
      </w:r>
      <w:r>
        <w:fldChar w:fldCharType="separate"/>
      </w:r>
      <w:r>
        <w:t>24</w:t>
      </w:r>
      <w:r>
        <w:fldChar w:fldCharType="end"/>
      </w:r>
      <w:r>
        <w:rPr>
          <w:rFonts w:hint="eastAsia" w:ascii="华文楷体" w:hAnsi="华文楷体" w:eastAsia="华文楷体" w:cs="华文楷体"/>
          <w:szCs w:val="30"/>
        </w:rPr>
        <w:fldChar w:fldCharType="end"/>
      </w:r>
    </w:p>
    <w:p w14:paraId="73D85B17">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_Toc28803 </w:instrText>
      </w:r>
      <w:r>
        <w:rPr>
          <w:rFonts w:hint="eastAsia" w:ascii="华文楷体" w:hAnsi="华文楷体" w:eastAsia="华文楷体" w:cs="华文楷体"/>
          <w:szCs w:val="30"/>
        </w:rPr>
        <w:fldChar w:fldCharType="separate"/>
      </w:r>
      <w:r>
        <w:rPr>
          <w:rFonts w:hint="eastAsia"/>
          <w:lang w:val="en-US" w:eastAsia="zh-CN"/>
        </w:rPr>
        <w:t>4.4 传统文化</w:t>
      </w:r>
      <w:r>
        <w:tab/>
      </w:r>
      <w:r>
        <w:fldChar w:fldCharType="begin"/>
      </w:r>
      <w:r>
        <w:instrText xml:space="preserve"> PAGEREF _Toc28803 \h </w:instrText>
      </w:r>
      <w:r>
        <w:fldChar w:fldCharType="separate"/>
      </w:r>
      <w:r>
        <w:t>24</w:t>
      </w:r>
      <w:r>
        <w:fldChar w:fldCharType="end"/>
      </w:r>
      <w:r>
        <w:rPr>
          <w:rFonts w:hint="eastAsia" w:ascii="华文楷体" w:hAnsi="华文楷体" w:eastAsia="华文楷体" w:cs="华文楷体"/>
          <w:szCs w:val="30"/>
        </w:rPr>
        <w:fldChar w:fldCharType="end"/>
      </w:r>
    </w:p>
    <w:p w14:paraId="28776C77">
      <w:pPr>
        <w:pStyle w:val="10"/>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_Toc12815 </w:instrText>
      </w:r>
      <w:r>
        <w:rPr>
          <w:rFonts w:hint="eastAsia" w:ascii="华文楷体" w:hAnsi="华文楷体" w:eastAsia="华文楷体" w:cs="华文楷体"/>
          <w:szCs w:val="30"/>
        </w:rPr>
        <w:fldChar w:fldCharType="separate"/>
      </w:r>
      <w:r>
        <w:rPr>
          <w:rFonts w:hint="eastAsia"/>
          <w:lang w:val="en-US" w:eastAsia="zh-CN"/>
        </w:rPr>
        <w:t>5 产教融合</w:t>
      </w:r>
      <w:r>
        <w:tab/>
      </w:r>
      <w:r>
        <w:fldChar w:fldCharType="begin"/>
      </w:r>
      <w:r>
        <w:instrText xml:space="preserve"> PAGEREF _Toc12815 \h </w:instrText>
      </w:r>
      <w:r>
        <w:fldChar w:fldCharType="separate"/>
      </w:r>
      <w:r>
        <w:t>27</w:t>
      </w:r>
      <w:r>
        <w:fldChar w:fldCharType="end"/>
      </w:r>
      <w:r>
        <w:rPr>
          <w:rFonts w:hint="eastAsia" w:ascii="华文楷体" w:hAnsi="华文楷体" w:eastAsia="华文楷体" w:cs="华文楷体"/>
          <w:szCs w:val="30"/>
        </w:rPr>
        <w:fldChar w:fldCharType="end"/>
      </w:r>
    </w:p>
    <w:p w14:paraId="3D7FDDC6">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_Toc592 </w:instrText>
      </w:r>
      <w:r>
        <w:rPr>
          <w:rFonts w:hint="eastAsia" w:ascii="华文楷体" w:hAnsi="华文楷体" w:eastAsia="华文楷体" w:cs="华文楷体"/>
          <w:szCs w:val="30"/>
        </w:rPr>
        <w:fldChar w:fldCharType="separate"/>
      </w:r>
      <w:r>
        <w:rPr>
          <w:rFonts w:hint="eastAsia"/>
          <w:lang w:val="en-US" w:eastAsia="zh-CN"/>
        </w:rPr>
        <w:t>5.1 政策引导</w:t>
      </w:r>
      <w:r>
        <w:tab/>
      </w:r>
      <w:r>
        <w:fldChar w:fldCharType="begin"/>
      </w:r>
      <w:r>
        <w:instrText xml:space="preserve"> PAGEREF _Toc592 \h </w:instrText>
      </w:r>
      <w:r>
        <w:fldChar w:fldCharType="separate"/>
      </w:r>
      <w:r>
        <w:t>27</w:t>
      </w:r>
      <w:r>
        <w:fldChar w:fldCharType="end"/>
      </w:r>
      <w:r>
        <w:rPr>
          <w:rFonts w:hint="eastAsia" w:ascii="华文楷体" w:hAnsi="华文楷体" w:eastAsia="华文楷体" w:cs="华文楷体"/>
          <w:szCs w:val="30"/>
        </w:rPr>
        <w:fldChar w:fldCharType="end"/>
      </w:r>
    </w:p>
    <w:p w14:paraId="07F6FBF0">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_Toc11280 </w:instrText>
      </w:r>
      <w:r>
        <w:rPr>
          <w:rFonts w:hint="eastAsia" w:ascii="华文楷体" w:hAnsi="华文楷体" w:eastAsia="华文楷体" w:cs="华文楷体"/>
          <w:szCs w:val="30"/>
        </w:rPr>
        <w:fldChar w:fldCharType="separate"/>
      </w:r>
      <w:r>
        <w:rPr>
          <w:rFonts w:hint="eastAsia"/>
          <w:lang w:val="en-US" w:eastAsia="zh-CN"/>
        </w:rPr>
        <w:t>5.2 双元育人</w:t>
      </w:r>
      <w:r>
        <w:tab/>
      </w:r>
      <w:r>
        <w:fldChar w:fldCharType="begin"/>
      </w:r>
      <w:r>
        <w:instrText xml:space="preserve"> PAGEREF _Toc11280 \h </w:instrText>
      </w:r>
      <w:r>
        <w:fldChar w:fldCharType="separate"/>
      </w:r>
      <w:r>
        <w:t>27</w:t>
      </w:r>
      <w:r>
        <w:fldChar w:fldCharType="end"/>
      </w:r>
      <w:r>
        <w:rPr>
          <w:rFonts w:hint="eastAsia" w:ascii="华文楷体" w:hAnsi="华文楷体" w:eastAsia="华文楷体" w:cs="华文楷体"/>
          <w:szCs w:val="30"/>
        </w:rPr>
        <w:fldChar w:fldCharType="end"/>
      </w:r>
    </w:p>
    <w:p w14:paraId="6E382E7B">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_Toc5048 </w:instrText>
      </w:r>
      <w:r>
        <w:rPr>
          <w:rFonts w:hint="eastAsia" w:ascii="华文楷体" w:hAnsi="华文楷体" w:eastAsia="华文楷体" w:cs="华文楷体"/>
          <w:szCs w:val="30"/>
        </w:rPr>
        <w:fldChar w:fldCharType="separate"/>
      </w:r>
      <w:r>
        <w:rPr>
          <w:rFonts w:hint="eastAsia"/>
          <w:lang w:val="en-US" w:eastAsia="zh-CN"/>
        </w:rPr>
        <w:t>5.3 1+X试点</w:t>
      </w:r>
      <w:r>
        <w:tab/>
      </w:r>
      <w:r>
        <w:fldChar w:fldCharType="begin"/>
      </w:r>
      <w:r>
        <w:instrText xml:space="preserve"> PAGEREF _Toc5048 \h </w:instrText>
      </w:r>
      <w:r>
        <w:fldChar w:fldCharType="separate"/>
      </w:r>
      <w:r>
        <w:t>29</w:t>
      </w:r>
      <w:r>
        <w:fldChar w:fldCharType="end"/>
      </w:r>
      <w:r>
        <w:rPr>
          <w:rFonts w:hint="eastAsia" w:ascii="华文楷体" w:hAnsi="华文楷体" w:eastAsia="华文楷体" w:cs="华文楷体"/>
          <w:szCs w:val="30"/>
        </w:rPr>
        <w:fldChar w:fldCharType="end"/>
      </w:r>
    </w:p>
    <w:p w14:paraId="219A876F">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_Toc20662 </w:instrText>
      </w:r>
      <w:r>
        <w:rPr>
          <w:rFonts w:hint="eastAsia" w:ascii="华文楷体" w:hAnsi="华文楷体" w:eastAsia="华文楷体" w:cs="华文楷体"/>
          <w:szCs w:val="30"/>
        </w:rPr>
        <w:fldChar w:fldCharType="separate"/>
      </w:r>
      <w:r>
        <w:rPr>
          <w:rFonts w:hint="eastAsia"/>
          <w:lang w:val="en-US" w:eastAsia="zh-CN"/>
        </w:rPr>
        <w:t>5.4 实习实训</w:t>
      </w:r>
      <w:r>
        <w:tab/>
      </w:r>
      <w:r>
        <w:fldChar w:fldCharType="begin"/>
      </w:r>
      <w:r>
        <w:instrText xml:space="preserve"> PAGEREF _Toc20662 \h </w:instrText>
      </w:r>
      <w:r>
        <w:fldChar w:fldCharType="separate"/>
      </w:r>
      <w:r>
        <w:t>30</w:t>
      </w:r>
      <w:r>
        <w:fldChar w:fldCharType="end"/>
      </w:r>
      <w:r>
        <w:rPr>
          <w:rFonts w:hint="eastAsia" w:ascii="华文楷体" w:hAnsi="华文楷体" w:eastAsia="华文楷体" w:cs="华文楷体"/>
          <w:szCs w:val="30"/>
        </w:rPr>
        <w:fldChar w:fldCharType="end"/>
      </w:r>
    </w:p>
    <w:p w14:paraId="315E3C74">
      <w:pPr>
        <w:pStyle w:val="10"/>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_Toc5580 </w:instrText>
      </w:r>
      <w:r>
        <w:rPr>
          <w:rFonts w:hint="eastAsia" w:ascii="华文楷体" w:hAnsi="华文楷体" w:eastAsia="华文楷体" w:cs="华文楷体"/>
          <w:szCs w:val="30"/>
        </w:rPr>
        <w:fldChar w:fldCharType="separate"/>
      </w:r>
      <w:r>
        <w:rPr>
          <w:rFonts w:hint="eastAsia"/>
          <w:lang w:val="en-US" w:eastAsia="zh-CN"/>
        </w:rPr>
        <w:t>6 发展保障</w:t>
      </w:r>
      <w:r>
        <w:tab/>
      </w:r>
      <w:r>
        <w:fldChar w:fldCharType="begin"/>
      </w:r>
      <w:r>
        <w:instrText xml:space="preserve"> PAGEREF _Toc5580 \h </w:instrText>
      </w:r>
      <w:r>
        <w:fldChar w:fldCharType="separate"/>
      </w:r>
      <w:r>
        <w:t>32</w:t>
      </w:r>
      <w:r>
        <w:fldChar w:fldCharType="end"/>
      </w:r>
      <w:r>
        <w:rPr>
          <w:rFonts w:hint="eastAsia" w:ascii="华文楷体" w:hAnsi="华文楷体" w:eastAsia="华文楷体" w:cs="华文楷体"/>
          <w:szCs w:val="30"/>
        </w:rPr>
        <w:fldChar w:fldCharType="end"/>
      </w:r>
    </w:p>
    <w:p w14:paraId="7985C966">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_Toc2699 </w:instrText>
      </w:r>
      <w:r>
        <w:rPr>
          <w:rFonts w:hint="eastAsia" w:ascii="华文楷体" w:hAnsi="华文楷体" w:eastAsia="华文楷体" w:cs="华文楷体"/>
          <w:szCs w:val="30"/>
        </w:rPr>
        <w:fldChar w:fldCharType="separate"/>
      </w:r>
      <w:r>
        <w:rPr>
          <w:rFonts w:hint="eastAsia"/>
          <w:lang w:val="en-US" w:eastAsia="zh-CN"/>
        </w:rPr>
        <w:t>6</w:t>
      </w:r>
      <w:r>
        <w:rPr>
          <w:rFonts w:hint="default"/>
          <w:lang w:val="en-US" w:eastAsia="zh-CN"/>
        </w:rPr>
        <w:t>.1</w:t>
      </w:r>
      <w:r>
        <w:rPr>
          <w:rFonts w:hint="eastAsia"/>
          <w:lang w:val="en-US" w:eastAsia="zh-CN"/>
        </w:rPr>
        <w:t xml:space="preserve"> </w:t>
      </w:r>
      <w:r>
        <w:rPr>
          <w:rFonts w:hint="default"/>
          <w:lang w:val="en-US" w:eastAsia="zh-CN"/>
        </w:rPr>
        <w:t>党建引领</w:t>
      </w:r>
      <w:r>
        <w:tab/>
      </w:r>
      <w:r>
        <w:fldChar w:fldCharType="begin"/>
      </w:r>
      <w:r>
        <w:instrText xml:space="preserve"> PAGEREF _Toc2699 \h </w:instrText>
      </w:r>
      <w:r>
        <w:fldChar w:fldCharType="separate"/>
      </w:r>
      <w:r>
        <w:t>32</w:t>
      </w:r>
      <w:r>
        <w:fldChar w:fldCharType="end"/>
      </w:r>
      <w:r>
        <w:rPr>
          <w:rFonts w:hint="eastAsia" w:ascii="华文楷体" w:hAnsi="华文楷体" w:eastAsia="华文楷体" w:cs="华文楷体"/>
          <w:szCs w:val="30"/>
        </w:rPr>
        <w:fldChar w:fldCharType="end"/>
      </w:r>
    </w:p>
    <w:p w14:paraId="63F951C8">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_Toc30656 </w:instrText>
      </w:r>
      <w:r>
        <w:rPr>
          <w:rFonts w:hint="eastAsia" w:ascii="华文楷体" w:hAnsi="华文楷体" w:eastAsia="华文楷体" w:cs="华文楷体"/>
          <w:szCs w:val="30"/>
        </w:rPr>
        <w:fldChar w:fldCharType="separate"/>
      </w:r>
      <w:r>
        <w:rPr>
          <w:rFonts w:hint="eastAsia"/>
          <w:lang w:val="en-US" w:eastAsia="zh-CN"/>
        </w:rPr>
        <w:t>6.2 政策支持</w:t>
      </w:r>
      <w:r>
        <w:tab/>
      </w:r>
      <w:r>
        <w:fldChar w:fldCharType="begin"/>
      </w:r>
      <w:r>
        <w:instrText xml:space="preserve"> PAGEREF _Toc30656 \h </w:instrText>
      </w:r>
      <w:r>
        <w:fldChar w:fldCharType="separate"/>
      </w:r>
      <w:r>
        <w:t>33</w:t>
      </w:r>
      <w:r>
        <w:fldChar w:fldCharType="end"/>
      </w:r>
      <w:r>
        <w:rPr>
          <w:rFonts w:hint="eastAsia" w:ascii="华文楷体" w:hAnsi="华文楷体" w:eastAsia="华文楷体" w:cs="华文楷体"/>
          <w:szCs w:val="30"/>
        </w:rPr>
        <w:fldChar w:fldCharType="end"/>
      </w:r>
    </w:p>
    <w:p w14:paraId="62A4C3F6">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_Toc18295 </w:instrText>
      </w:r>
      <w:r>
        <w:rPr>
          <w:rFonts w:hint="eastAsia" w:ascii="华文楷体" w:hAnsi="华文楷体" w:eastAsia="华文楷体" w:cs="华文楷体"/>
          <w:szCs w:val="30"/>
        </w:rPr>
        <w:fldChar w:fldCharType="separate"/>
      </w:r>
      <w:r>
        <w:rPr>
          <w:rFonts w:hint="eastAsia"/>
          <w:lang w:val="en-US" w:eastAsia="zh-CN"/>
        </w:rPr>
        <w:t>6.3 经费投入</w:t>
      </w:r>
      <w:r>
        <w:tab/>
      </w:r>
      <w:r>
        <w:fldChar w:fldCharType="begin"/>
      </w:r>
      <w:r>
        <w:instrText xml:space="preserve"> PAGEREF _Toc18295 \h </w:instrText>
      </w:r>
      <w:r>
        <w:fldChar w:fldCharType="separate"/>
      </w:r>
      <w:r>
        <w:t>34</w:t>
      </w:r>
      <w:r>
        <w:fldChar w:fldCharType="end"/>
      </w:r>
      <w:r>
        <w:rPr>
          <w:rFonts w:hint="eastAsia" w:ascii="华文楷体" w:hAnsi="华文楷体" w:eastAsia="华文楷体" w:cs="华文楷体"/>
          <w:szCs w:val="30"/>
        </w:rPr>
        <w:fldChar w:fldCharType="end"/>
      </w:r>
    </w:p>
    <w:p w14:paraId="575E9859">
      <w:pPr>
        <w:pStyle w:val="10"/>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_Toc25914 </w:instrText>
      </w:r>
      <w:r>
        <w:rPr>
          <w:rFonts w:hint="eastAsia" w:ascii="华文楷体" w:hAnsi="华文楷体" w:eastAsia="华文楷体" w:cs="华文楷体"/>
          <w:szCs w:val="30"/>
        </w:rPr>
        <w:fldChar w:fldCharType="separate"/>
      </w:r>
      <w:r>
        <w:rPr>
          <w:rFonts w:hint="eastAsia"/>
          <w:lang w:val="en-US" w:eastAsia="zh-CN"/>
        </w:rPr>
        <w:t>7 面临挑战</w:t>
      </w:r>
      <w:r>
        <w:tab/>
      </w:r>
      <w:r>
        <w:fldChar w:fldCharType="begin"/>
      </w:r>
      <w:r>
        <w:instrText xml:space="preserve"> PAGEREF _Toc25914 \h </w:instrText>
      </w:r>
      <w:r>
        <w:fldChar w:fldCharType="separate"/>
      </w:r>
      <w:r>
        <w:t>35</w:t>
      </w:r>
      <w:r>
        <w:fldChar w:fldCharType="end"/>
      </w:r>
      <w:r>
        <w:rPr>
          <w:rFonts w:hint="eastAsia" w:ascii="华文楷体" w:hAnsi="华文楷体" w:eastAsia="华文楷体" w:cs="华文楷体"/>
          <w:szCs w:val="30"/>
        </w:rPr>
        <w:fldChar w:fldCharType="end"/>
      </w:r>
    </w:p>
    <w:p w14:paraId="673A612D">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_Toc11370 </w:instrText>
      </w:r>
      <w:r>
        <w:rPr>
          <w:rFonts w:hint="eastAsia" w:ascii="华文楷体" w:hAnsi="华文楷体" w:eastAsia="华文楷体" w:cs="华文楷体"/>
          <w:szCs w:val="30"/>
        </w:rPr>
        <w:fldChar w:fldCharType="separate"/>
      </w:r>
      <w:r>
        <w:rPr>
          <w:rFonts w:hint="eastAsia"/>
          <w:lang w:val="en-US" w:eastAsia="zh-CN"/>
        </w:rPr>
        <w:t>7.1 个别政策落地难</w:t>
      </w:r>
      <w:r>
        <w:tab/>
      </w:r>
      <w:r>
        <w:fldChar w:fldCharType="begin"/>
      </w:r>
      <w:r>
        <w:instrText xml:space="preserve"> PAGEREF _Toc11370 \h </w:instrText>
      </w:r>
      <w:r>
        <w:fldChar w:fldCharType="separate"/>
      </w:r>
      <w:r>
        <w:t>35</w:t>
      </w:r>
      <w:r>
        <w:fldChar w:fldCharType="end"/>
      </w:r>
      <w:r>
        <w:rPr>
          <w:rFonts w:hint="eastAsia" w:ascii="华文楷体" w:hAnsi="华文楷体" w:eastAsia="华文楷体" w:cs="华文楷体"/>
          <w:szCs w:val="30"/>
        </w:rPr>
        <w:fldChar w:fldCharType="end"/>
      </w:r>
    </w:p>
    <w:p w14:paraId="68690669">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_Toc24546 </w:instrText>
      </w:r>
      <w:r>
        <w:rPr>
          <w:rFonts w:hint="eastAsia" w:ascii="华文楷体" w:hAnsi="华文楷体" w:eastAsia="华文楷体" w:cs="华文楷体"/>
          <w:szCs w:val="30"/>
        </w:rPr>
        <w:fldChar w:fldCharType="separate"/>
      </w:r>
      <w:r>
        <w:rPr>
          <w:rFonts w:hint="eastAsia"/>
          <w:lang w:val="en-US" w:eastAsia="zh-CN"/>
        </w:rPr>
        <w:t>7.2 教师队伍缺编缺员</w:t>
      </w:r>
      <w:r>
        <w:tab/>
      </w:r>
      <w:r>
        <w:fldChar w:fldCharType="begin"/>
      </w:r>
      <w:r>
        <w:instrText xml:space="preserve"> PAGEREF _Toc24546 \h </w:instrText>
      </w:r>
      <w:r>
        <w:fldChar w:fldCharType="separate"/>
      </w:r>
      <w:r>
        <w:t>35</w:t>
      </w:r>
      <w:r>
        <w:fldChar w:fldCharType="end"/>
      </w:r>
      <w:r>
        <w:rPr>
          <w:rFonts w:hint="eastAsia" w:ascii="华文楷体" w:hAnsi="华文楷体" w:eastAsia="华文楷体" w:cs="华文楷体"/>
          <w:szCs w:val="30"/>
        </w:rPr>
        <w:fldChar w:fldCharType="end"/>
      </w:r>
    </w:p>
    <w:p w14:paraId="5F1F477F">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_Toc11023 </w:instrText>
      </w:r>
      <w:r>
        <w:rPr>
          <w:rFonts w:hint="eastAsia" w:ascii="华文楷体" w:hAnsi="华文楷体" w:eastAsia="华文楷体" w:cs="华文楷体"/>
          <w:szCs w:val="30"/>
        </w:rPr>
        <w:fldChar w:fldCharType="separate"/>
      </w:r>
      <w:r>
        <w:rPr>
          <w:rFonts w:hint="eastAsia"/>
          <w:lang w:val="en-US" w:eastAsia="zh-CN"/>
        </w:rPr>
        <w:t>7.3 产教融合亟待加强</w:t>
      </w:r>
      <w:r>
        <w:tab/>
      </w:r>
      <w:r>
        <w:fldChar w:fldCharType="begin"/>
      </w:r>
      <w:r>
        <w:instrText xml:space="preserve"> PAGEREF _Toc11023 \h </w:instrText>
      </w:r>
      <w:r>
        <w:fldChar w:fldCharType="separate"/>
      </w:r>
      <w:r>
        <w:t>35</w:t>
      </w:r>
      <w:r>
        <w:fldChar w:fldCharType="end"/>
      </w:r>
      <w:r>
        <w:rPr>
          <w:rFonts w:hint="eastAsia" w:ascii="华文楷体" w:hAnsi="华文楷体" w:eastAsia="华文楷体" w:cs="华文楷体"/>
          <w:szCs w:val="30"/>
        </w:rPr>
        <w:fldChar w:fldCharType="end"/>
      </w:r>
    </w:p>
    <w:p w14:paraId="71704FC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楷体_GB2312" w:hAnsi="楷体_GB2312" w:eastAsia="楷体_GB2312" w:cs="楷体_GB2312"/>
          <w:sz w:val="30"/>
          <w:szCs w:val="30"/>
        </w:rPr>
      </w:pPr>
      <w:r>
        <w:rPr>
          <w:rFonts w:hint="eastAsia" w:ascii="华文楷体" w:hAnsi="华文楷体" w:eastAsia="华文楷体" w:cs="华文楷体"/>
          <w:szCs w:val="30"/>
        </w:rPr>
        <w:fldChar w:fldCharType="end"/>
      </w:r>
    </w:p>
    <w:p w14:paraId="561B6D1A">
      <w:pPr>
        <w:rPr>
          <w:rFonts w:hint="eastAsia" w:ascii="楷体_GB2312" w:hAnsi="楷体_GB2312" w:eastAsia="楷体_GB2312" w:cs="楷体_GB2312"/>
          <w:sz w:val="30"/>
          <w:szCs w:val="30"/>
        </w:rPr>
      </w:pPr>
      <w:r>
        <w:rPr>
          <w:rFonts w:hint="eastAsia" w:ascii="楷体_GB2312" w:hAnsi="楷体_GB2312" w:eastAsia="楷体_GB2312" w:cs="楷体_GB2312"/>
          <w:sz w:val="30"/>
          <w:szCs w:val="30"/>
        </w:rPr>
        <w:br w:type="page"/>
      </w:r>
    </w:p>
    <w:p w14:paraId="0525DD75">
      <w:pPr>
        <w:pStyle w:val="10"/>
        <w:tabs>
          <w:tab w:val="right" w:leader="dot" w:pos="8306"/>
        </w:tabs>
        <w:jc w:val="center"/>
        <w:rPr>
          <w:rFonts w:hint="eastAsia" w:ascii="方正小标宋简体" w:hAnsi="方正小标宋简体" w:eastAsia="方正小标宋简体" w:cs="方正小标宋简体"/>
          <w:sz w:val="52"/>
          <w:szCs w:val="52"/>
          <w:lang w:val="en-US" w:eastAsia="zh-CN"/>
        </w:rPr>
      </w:pPr>
      <w:r>
        <w:rPr>
          <w:rFonts w:hint="eastAsia" w:ascii="方正小标宋简体" w:hAnsi="方正小标宋简体" w:eastAsia="方正小标宋简体" w:cs="方正小标宋简体"/>
          <w:sz w:val="52"/>
          <w:szCs w:val="52"/>
          <w:lang w:val="en-US" w:eastAsia="zh-CN"/>
        </w:rPr>
        <w:t>案 例 目 录</w:t>
      </w:r>
    </w:p>
    <w:p w14:paraId="60F93324">
      <w:pPr>
        <w:rPr>
          <w:rFonts w:hint="eastAsia"/>
          <w:lang w:val="en-US" w:eastAsia="zh-CN"/>
        </w:rPr>
      </w:pPr>
    </w:p>
    <w:p w14:paraId="17FFB5EC">
      <w:pPr>
        <w:pStyle w:val="10"/>
        <w:tabs>
          <w:tab w:val="right" w:leader="dot" w:pos="8306"/>
        </w:tabs>
      </w:pPr>
      <w:r>
        <w:rPr>
          <w:rFonts w:hint="eastAsia" w:ascii="华文楷体" w:hAnsi="华文楷体" w:eastAsia="华文楷体" w:cs="华文楷体"/>
          <w:sz w:val="30"/>
          <w:szCs w:val="30"/>
          <w:lang w:val="en-US" w:eastAsia="zh-CN"/>
        </w:rPr>
        <w:fldChar w:fldCharType="begin"/>
      </w:r>
      <w:r>
        <w:rPr>
          <w:rFonts w:hint="eastAsia" w:ascii="华文楷体" w:hAnsi="华文楷体" w:eastAsia="华文楷体" w:cs="华文楷体"/>
          <w:sz w:val="30"/>
          <w:szCs w:val="30"/>
          <w:lang w:val="en-US" w:eastAsia="zh-CN"/>
        </w:rPr>
        <w:instrText xml:space="preserve">TOC \f \t "案例标题,1,标题 1,9" \h \u </w:instrText>
      </w:r>
      <w:r>
        <w:rPr>
          <w:rFonts w:hint="eastAsia" w:ascii="华文楷体" w:hAnsi="华文楷体" w:eastAsia="华文楷体" w:cs="华文楷体"/>
          <w:sz w:val="30"/>
          <w:szCs w:val="30"/>
          <w:lang w:val="en-US" w:eastAsia="zh-CN"/>
        </w:rPr>
        <w:fldChar w:fldCharType="separate"/>
      </w: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_Toc26253 </w:instrText>
      </w:r>
      <w:r>
        <w:rPr>
          <w:rFonts w:hint="eastAsia" w:ascii="华文楷体" w:hAnsi="华文楷体" w:eastAsia="华文楷体" w:cs="华文楷体"/>
          <w:szCs w:val="30"/>
          <w:lang w:val="en-US" w:eastAsia="zh-CN"/>
        </w:rPr>
        <w:fldChar w:fldCharType="separate"/>
      </w:r>
      <w:r>
        <w:rPr>
          <w:rFonts w:hint="default"/>
          <w:lang w:val="en-US" w:eastAsia="zh-CN"/>
        </w:rPr>
        <w:t>案例</w:t>
      </w:r>
      <w:r>
        <w:rPr>
          <w:rFonts w:hint="eastAsia"/>
          <w:lang w:val="en-US" w:eastAsia="zh-CN"/>
        </w:rPr>
        <w:t>1</w:t>
      </w:r>
      <w:r>
        <w:rPr>
          <w:rFonts w:hint="default"/>
          <w:lang w:val="en-US" w:eastAsia="zh-CN"/>
        </w:rPr>
        <w:t>：</w:t>
      </w:r>
      <w:r>
        <w:rPr>
          <w:rFonts w:hint="eastAsia"/>
          <w:lang w:val="en-US" w:eastAsia="zh-CN"/>
        </w:rPr>
        <w:t>永修中专开展</w:t>
      </w:r>
      <w:r>
        <w:rPr>
          <w:rFonts w:hint="default"/>
          <w:lang w:val="en-US" w:eastAsia="zh-CN"/>
        </w:rPr>
        <w:t>丰富多彩的共青团活动</w:t>
      </w:r>
      <w:r>
        <w:tab/>
      </w:r>
      <w:r>
        <w:fldChar w:fldCharType="begin"/>
      </w:r>
      <w:r>
        <w:instrText xml:space="preserve"> PAGEREF _Toc26253 \h </w:instrText>
      </w:r>
      <w:r>
        <w:fldChar w:fldCharType="separate"/>
      </w:r>
      <w:r>
        <w:t>8</w:t>
      </w:r>
      <w:r>
        <w:fldChar w:fldCharType="end"/>
      </w:r>
      <w:r>
        <w:rPr>
          <w:rFonts w:hint="eastAsia" w:ascii="华文楷体" w:hAnsi="华文楷体" w:eastAsia="华文楷体" w:cs="华文楷体"/>
          <w:szCs w:val="30"/>
          <w:lang w:val="en-US" w:eastAsia="zh-CN"/>
        </w:rPr>
        <w:fldChar w:fldCharType="end"/>
      </w:r>
    </w:p>
    <w:p w14:paraId="10D6704B">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_Toc17226 </w:instrText>
      </w:r>
      <w:r>
        <w:rPr>
          <w:rFonts w:hint="eastAsia" w:ascii="华文楷体" w:hAnsi="华文楷体" w:eastAsia="华文楷体" w:cs="华文楷体"/>
          <w:szCs w:val="30"/>
          <w:lang w:val="en-US" w:eastAsia="zh-CN"/>
        </w:rPr>
        <w:fldChar w:fldCharType="separate"/>
      </w:r>
      <w:r>
        <w:rPr>
          <w:rFonts w:hint="eastAsia"/>
          <w:lang w:val="en-US" w:eastAsia="zh-CN"/>
        </w:rPr>
        <w:t>案例2：九江科技中专提高学校思想政治理论课教学质量</w:t>
      </w:r>
      <w:r>
        <w:tab/>
      </w:r>
      <w:r>
        <w:fldChar w:fldCharType="begin"/>
      </w:r>
      <w:r>
        <w:instrText xml:space="preserve"> PAGEREF _Toc17226 \h </w:instrText>
      </w:r>
      <w:r>
        <w:fldChar w:fldCharType="separate"/>
      </w:r>
      <w:r>
        <w:t>9</w:t>
      </w:r>
      <w:r>
        <w:fldChar w:fldCharType="end"/>
      </w:r>
      <w:r>
        <w:rPr>
          <w:rFonts w:hint="eastAsia" w:ascii="华文楷体" w:hAnsi="华文楷体" w:eastAsia="华文楷体" w:cs="华文楷体"/>
          <w:szCs w:val="30"/>
          <w:lang w:val="en-US" w:eastAsia="zh-CN"/>
        </w:rPr>
        <w:fldChar w:fldCharType="end"/>
      </w:r>
    </w:p>
    <w:p w14:paraId="57BF10F7">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_Toc10980 </w:instrText>
      </w:r>
      <w:r>
        <w:rPr>
          <w:rFonts w:hint="eastAsia" w:ascii="华文楷体" w:hAnsi="华文楷体" w:eastAsia="华文楷体" w:cs="华文楷体"/>
          <w:szCs w:val="30"/>
          <w:lang w:val="en-US" w:eastAsia="zh-CN"/>
        </w:rPr>
        <w:fldChar w:fldCharType="separate"/>
      </w:r>
      <w:r>
        <w:rPr>
          <w:rFonts w:hint="eastAsia"/>
          <w:lang w:val="en-US" w:eastAsia="zh-CN"/>
        </w:rPr>
        <w:t>案例3：柴桑中职举办TCL（智能制造）专业第二届技能大赛</w:t>
      </w:r>
      <w:r>
        <w:tab/>
      </w:r>
      <w:r>
        <w:fldChar w:fldCharType="begin"/>
      </w:r>
      <w:r>
        <w:instrText xml:space="preserve"> PAGEREF _Toc10980 \h </w:instrText>
      </w:r>
      <w:r>
        <w:fldChar w:fldCharType="separate"/>
      </w:r>
      <w:r>
        <w:t>16</w:t>
      </w:r>
      <w:r>
        <w:fldChar w:fldCharType="end"/>
      </w:r>
      <w:r>
        <w:rPr>
          <w:rFonts w:hint="eastAsia" w:ascii="华文楷体" w:hAnsi="华文楷体" w:eastAsia="华文楷体" w:cs="华文楷体"/>
          <w:szCs w:val="30"/>
          <w:lang w:val="en-US" w:eastAsia="zh-CN"/>
        </w:rPr>
        <w:fldChar w:fldCharType="end"/>
      </w:r>
    </w:p>
    <w:p w14:paraId="3EB59999">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_Toc15000 </w:instrText>
      </w:r>
      <w:r>
        <w:rPr>
          <w:rFonts w:hint="eastAsia" w:ascii="华文楷体" w:hAnsi="华文楷体" w:eastAsia="华文楷体" w:cs="华文楷体"/>
          <w:szCs w:val="30"/>
          <w:lang w:val="en-US" w:eastAsia="zh-CN"/>
        </w:rPr>
        <w:fldChar w:fldCharType="separate"/>
      </w:r>
      <w:r>
        <w:rPr>
          <w:rFonts w:hint="default"/>
          <w:lang w:val="en-US" w:eastAsia="zh-CN"/>
        </w:rPr>
        <w:t>案例</w:t>
      </w:r>
      <w:r>
        <w:rPr>
          <w:rFonts w:hint="eastAsia"/>
          <w:lang w:val="en-US" w:eastAsia="zh-CN"/>
        </w:rPr>
        <w:t>4</w:t>
      </w:r>
      <w:r>
        <w:rPr>
          <w:rFonts w:hint="default"/>
          <w:lang w:val="en-US" w:eastAsia="zh-CN"/>
        </w:rPr>
        <w:t>：</w:t>
      </w:r>
      <w:r>
        <w:rPr>
          <w:rFonts w:hint="eastAsia"/>
          <w:lang w:val="en-US" w:eastAsia="zh-CN"/>
        </w:rPr>
        <w:t>九江科技中专</w:t>
      </w:r>
      <w:r>
        <w:rPr>
          <w:rFonts w:hint="default"/>
          <w:lang w:val="en-US" w:eastAsia="zh-CN"/>
        </w:rPr>
        <w:t>“产教融合、校企共育”谱新篇</w:t>
      </w:r>
      <w:r>
        <w:tab/>
      </w:r>
      <w:r>
        <w:fldChar w:fldCharType="begin"/>
      </w:r>
      <w:r>
        <w:instrText xml:space="preserve"> PAGEREF _Toc15000 \h </w:instrText>
      </w:r>
      <w:r>
        <w:fldChar w:fldCharType="separate"/>
      </w:r>
      <w:r>
        <w:t>17</w:t>
      </w:r>
      <w:r>
        <w:fldChar w:fldCharType="end"/>
      </w:r>
      <w:r>
        <w:rPr>
          <w:rFonts w:hint="eastAsia" w:ascii="华文楷体" w:hAnsi="华文楷体" w:eastAsia="华文楷体" w:cs="华文楷体"/>
          <w:szCs w:val="30"/>
          <w:lang w:val="en-US" w:eastAsia="zh-CN"/>
        </w:rPr>
        <w:fldChar w:fldCharType="end"/>
      </w:r>
    </w:p>
    <w:p w14:paraId="5B51FD7E">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_Toc14374 </w:instrText>
      </w:r>
      <w:r>
        <w:rPr>
          <w:rFonts w:hint="eastAsia" w:ascii="华文楷体" w:hAnsi="华文楷体" w:eastAsia="华文楷体" w:cs="华文楷体"/>
          <w:szCs w:val="30"/>
          <w:lang w:val="en-US" w:eastAsia="zh-CN"/>
        </w:rPr>
        <w:fldChar w:fldCharType="separate"/>
      </w:r>
      <w:r>
        <w:rPr>
          <w:rFonts w:hint="eastAsia"/>
          <w:lang w:val="en-US" w:eastAsia="zh-CN"/>
        </w:rPr>
        <w:t>案例5：瑞昌中专建设退役军人培训中心</w:t>
      </w:r>
      <w:r>
        <w:tab/>
      </w:r>
      <w:r>
        <w:fldChar w:fldCharType="begin"/>
      </w:r>
      <w:r>
        <w:instrText xml:space="preserve"> PAGEREF _Toc14374 \h </w:instrText>
      </w:r>
      <w:r>
        <w:fldChar w:fldCharType="separate"/>
      </w:r>
      <w:r>
        <w:t>18</w:t>
      </w:r>
      <w:r>
        <w:fldChar w:fldCharType="end"/>
      </w:r>
      <w:r>
        <w:rPr>
          <w:rFonts w:hint="eastAsia" w:ascii="华文楷体" w:hAnsi="华文楷体" w:eastAsia="华文楷体" w:cs="华文楷体"/>
          <w:szCs w:val="30"/>
          <w:lang w:val="en-US" w:eastAsia="zh-CN"/>
        </w:rPr>
        <w:fldChar w:fldCharType="end"/>
      </w:r>
    </w:p>
    <w:p w14:paraId="50039A16">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_Toc30959 </w:instrText>
      </w:r>
      <w:r>
        <w:rPr>
          <w:rFonts w:hint="eastAsia" w:ascii="华文楷体" w:hAnsi="华文楷体" w:eastAsia="华文楷体" w:cs="华文楷体"/>
          <w:szCs w:val="30"/>
          <w:lang w:val="en-US" w:eastAsia="zh-CN"/>
        </w:rPr>
        <w:fldChar w:fldCharType="separate"/>
      </w:r>
      <w:r>
        <w:rPr>
          <w:rFonts w:hint="default"/>
          <w:lang w:val="en-US" w:eastAsia="zh-CN"/>
        </w:rPr>
        <w:t>案例</w:t>
      </w:r>
      <w:r>
        <w:rPr>
          <w:rFonts w:hint="eastAsia"/>
          <w:lang w:val="en-US" w:eastAsia="zh-CN"/>
        </w:rPr>
        <w:t>6</w:t>
      </w:r>
      <w:r>
        <w:rPr>
          <w:rFonts w:hint="default"/>
          <w:lang w:val="en-US" w:eastAsia="zh-CN"/>
        </w:rPr>
        <w:t>：</w:t>
      </w:r>
      <w:r>
        <w:rPr>
          <w:rFonts w:hint="eastAsia"/>
          <w:lang w:val="en-US" w:eastAsia="zh-CN"/>
        </w:rPr>
        <w:t>九江理工学校组织清明祭扫先烈</w:t>
      </w:r>
      <w:r>
        <w:tab/>
      </w:r>
      <w:r>
        <w:fldChar w:fldCharType="begin"/>
      </w:r>
      <w:r>
        <w:instrText xml:space="preserve"> PAGEREF _Toc30959 \h </w:instrText>
      </w:r>
      <w:r>
        <w:fldChar w:fldCharType="separate"/>
      </w:r>
      <w:r>
        <w:t>23</w:t>
      </w:r>
      <w:r>
        <w:fldChar w:fldCharType="end"/>
      </w:r>
      <w:r>
        <w:rPr>
          <w:rFonts w:hint="eastAsia" w:ascii="华文楷体" w:hAnsi="华文楷体" w:eastAsia="华文楷体" w:cs="华文楷体"/>
          <w:szCs w:val="30"/>
          <w:lang w:val="en-US" w:eastAsia="zh-CN"/>
        </w:rPr>
        <w:fldChar w:fldCharType="end"/>
      </w:r>
    </w:p>
    <w:p w14:paraId="4BF1A16D">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_Toc3046 </w:instrText>
      </w:r>
      <w:r>
        <w:rPr>
          <w:rFonts w:hint="eastAsia" w:ascii="华文楷体" w:hAnsi="华文楷体" w:eastAsia="华文楷体" w:cs="华文楷体"/>
          <w:szCs w:val="30"/>
          <w:lang w:val="en-US" w:eastAsia="zh-CN"/>
        </w:rPr>
        <w:fldChar w:fldCharType="separate"/>
      </w:r>
      <w:r>
        <w:rPr>
          <w:rFonts w:hint="default"/>
          <w:lang w:val="en-US" w:eastAsia="zh-CN"/>
        </w:rPr>
        <w:t>案例</w:t>
      </w:r>
      <w:r>
        <w:rPr>
          <w:rFonts w:hint="eastAsia"/>
          <w:lang w:val="en-US" w:eastAsia="zh-CN"/>
        </w:rPr>
        <w:t>7：都昌中专组织</w:t>
      </w:r>
      <w:r>
        <w:rPr>
          <w:rFonts w:hint="default"/>
          <w:lang w:val="en-US" w:eastAsia="zh-CN"/>
        </w:rPr>
        <w:t>非遗进校园</w:t>
      </w:r>
      <w:r>
        <w:tab/>
      </w:r>
      <w:r>
        <w:fldChar w:fldCharType="begin"/>
      </w:r>
      <w:r>
        <w:instrText xml:space="preserve"> PAGEREF _Toc3046 \h </w:instrText>
      </w:r>
      <w:r>
        <w:fldChar w:fldCharType="separate"/>
      </w:r>
      <w:r>
        <w:t>25</w:t>
      </w:r>
      <w:r>
        <w:fldChar w:fldCharType="end"/>
      </w:r>
      <w:r>
        <w:rPr>
          <w:rFonts w:hint="eastAsia" w:ascii="华文楷体" w:hAnsi="华文楷体" w:eastAsia="华文楷体" w:cs="华文楷体"/>
          <w:szCs w:val="30"/>
          <w:lang w:val="en-US" w:eastAsia="zh-CN"/>
        </w:rPr>
        <w:fldChar w:fldCharType="end"/>
      </w:r>
    </w:p>
    <w:p w14:paraId="28053D50">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_Toc3578 </w:instrText>
      </w:r>
      <w:r>
        <w:rPr>
          <w:rFonts w:hint="eastAsia" w:ascii="华文楷体" w:hAnsi="华文楷体" w:eastAsia="华文楷体" w:cs="华文楷体"/>
          <w:szCs w:val="30"/>
          <w:lang w:val="en-US" w:eastAsia="zh-CN"/>
        </w:rPr>
        <w:fldChar w:fldCharType="separate"/>
      </w:r>
      <w:r>
        <w:rPr>
          <w:rFonts w:hint="eastAsia"/>
          <w:lang w:val="en-US" w:eastAsia="zh-CN"/>
        </w:rPr>
        <w:t>案例8：庐山西海艺校加强校企深度合作</w:t>
      </w:r>
      <w:r>
        <w:tab/>
      </w:r>
      <w:r>
        <w:fldChar w:fldCharType="begin"/>
      </w:r>
      <w:r>
        <w:instrText xml:space="preserve"> PAGEREF _Toc3578 \h </w:instrText>
      </w:r>
      <w:r>
        <w:fldChar w:fldCharType="separate"/>
      </w:r>
      <w:r>
        <w:t>27</w:t>
      </w:r>
      <w:r>
        <w:fldChar w:fldCharType="end"/>
      </w:r>
      <w:r>
        <w:rPr>
          <w:rFonts w:hint="eastAsia" w:ascii="华文楷体" w:hAnsi="华文楷体" w:eastAsia="华文楷体" w:cs="华文楷体"/>
          <w:szCs w:val="30"/>
          <w:lang w:val="en-US" w:eastAsia="zh-CN"/>
        </w:rPr>
        <w:fldChar w:fldCharType="end"/>
      </w:r>
    </w:p>
    <w:p w14:paraId="6605D8F6">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_Toc26113 </w:instrText>
      </w:r>
      <w:r>
        <w:rPr>
          <w:rFonts w:hint="eastAsia" w:ascii="华文楷体" w:hAnsi="华文楷体" w:eastAsia="华文楷体" w:cs="华文楷体"/>
          <w:szCs w:val="30"/>
          <w:lang w:val="en-US" w:eastAsia="zh-CN"/>
        </w:rPr>
        <w:fldChar w:fldCharType="separate"/>
      </w:r>
      <w:r>
        <w:rPr>
          <w:rFonts w:hint="eastAsia"/>
          <w:lang w:val="en-US" w:eastAsia="zh-CN"/>
        </w:rPr>
        <w:t>案例9：修水中专培养模具技术人才，助力县域经济发展</w:t>
      </w:r>
      <w:r>
        <w:tab/>
      </w:r>
      <w:r>
        <w:fldChar w:fldCharType="begin"/>
      </w:r>
      <w:r>
        <w:instrText xml:space="preserve"> PAGEREF _Toc26113 \h </w:instrText>
      </w:r>
      <w:r>
        <w:fldChar w:fldCharType="separate"/>
      </w:r>
      <w:r>
        <w:t>28</w:t>
      </w:r>
      <w:r>
        <w:fldChar w:fldCharType="end"/>
      </w:r>
      <w:r>
        <w:rPr>
          <w:rFonts w:hint="eastAsia" w:ascii="华文楷体" w:hAnsi="华文楷体" w:eastAsia="华文楷体" w:cs="华文楷体"/>
          <w:szCs w:val="30"/>
          <w:lang w:val="en-US" w:eastAsia="zh-CN"/>
        </w:rPr>
        <w:fldChar w:fldCharType="end"/>
      </w:r>
    </w:p>
    <w:p w14:paraId="61ED140D">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_Toc21910 </w:instrText>
      </w:r>
      <w:r>
        <w:rPr>
          <w:rFonts w:hint="eastAsia" w:ascii="华文楷体" w:hAnsi="华文楷体" w:eastAsia="华文楷体" w:cs="华文楷体"/>
          <w:szCs w:val="30"/>
          <w:lang w:val="en-US" w:eastAsia="zh-CN"/>
        </w:rPr>
        <w:fldChar w:fldCharType="separate"/>
      </w:r>
      <w:r>
        <w:rPr>
          <w:rFonts w:hint="eastAsia"/>
          <w:lang w:val="en-US" w:eastAsia="zh-CN"/>
        </w:rPr>
        <w:t>案例10：九江科技中专1+X职业技能等级证书制度试点</w:t>
      </w:r>
      <w:r>
        <w:tab/>
      </w:r>
      <w:r>
        <w:fldChar w:fldCharType="begin"/>
      </w:r>
      <w:r>
        <w:instrText xml:space="preserve"> PAGEREF _Toc21910 \h </w:instrText>
      </w:r>
      <w:r>
        <w:fldChar w:fldCharType="separate"/>
      </w:r>
      <w:r>
        <w:t>29</w:t>
      </w:r>
      <w:r>
        <w:fldChar w:fldCharType="end"/>
      </w:r>
      <w:r>
        <w:rPr>
          <w:rFonts w:hint="eastAsia" w:ascii="华文楷体" w:hAnsi="华文楷体" w:eastAsia="华文楷体" w:cs="华文楷体"/>
          <w:szCs w:val="30"/>
          <w:lang w:val="en-US" w:eastAsia="zh-CN"/>
        </w:rPr>
        <w:fldChar w:fldCharType="end"/>
      </w:r>
    </w:p>
    <w:p w14:paraId="4BDA4C95">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_Toc10376 </w:instrText>
      </w:r>
      <w:r>
        <w:rPr>
          <w:rFonts w:hint="eastAsia" w:ascii="华文楷体" w:hAnsi="华文楷体" w:eastAsia="华文楷体" w:cs="华文楷体"/>
          <w:szCs w:val="30"/>
          <w:lang w:val="en-US" w:eastAsia="zh-CN"/>
        </w:rPr>
        <w:fldChar w:fldCharType="separate"/>
      </w:r>
      <w:r>
        <w:rPr>
          <w:rFonts w:hint="default"/>
          <w:lang w:val="en-US" w:eastAsia="zh-CN"/>
        </w:rPr>
        <w:t>案例</w:t>
      </w:r>
      <w:r>
        <w:rPr>
          <w:rFonts w:hint="eastAsia"/>
          <w:lang w:val="en-US" w:eastAsia="zh-CN"/>
        </w:rPr>
        <w:t>11</w:t>
      </w:r>
      <w:r>
        <w:rPr>
          <w:rFonts w:hint="default"/>
          <w:lang w:val="en-US" w:eastAsia="zh-CN"/>
        </w:rPr>
        <w:t>：九江市理工职业技术学校</w:t>
      </w:r>
      <w:r>
        <w:rPr>
          <w:rFonts w:hint="eastAsia"/>
          <w:lang w:val="en-US" w:eastAsia="zh-CN"/>
        </w:rPr>
        <w:t>开展</w:t>
      </w:r>
      <w:r>
        <w:rPr>
          <w:rFonts w:hint="default"/>
          <w:lang w:val="en-US" w:eastAsia="zh-CN"/>
        </w:rPr>
        <w:t>主题教育活动</w:t>
      </w:r>
      <w:r>
        <w:tab/>
      </w:r>
      <w:r>
        <w:fldChar w:fldCharType="begin"/>
      </w:r>
      <w:r>
        <w:instrText xml:space="preserve"> PAGEREF _Toc10376 \h </w:instrText>
      </w:r>
      <w:r>
        <w:fldChar w:fldCharType="separate"/>
      </w:r>
      <w:r>
        <w:t>32</w:t>
      </w:r>
      <w:r>
        <w:fldChar w:fldCharType="end"/>
      </w:r>
      <w:r>
        <w:rPr>
          <w:rFonts w:hint="eastAsia" w:ascii="华文楷体" w:hAnsi="华文楷体" w:eastAsia="华文楷体" w:cs="华文楷体"/>
          <w:szCs w:val="30"/>
          <w:lang w:val="en-US" w:eastAsia="zh-CN"/>
        </w:rPr>
        <w:fldChar w:fldCharType="end"/>
      </w:r>
    </w:p>
    <w:p w14:paraId="687B8E0E">
      <w:pPr>
        <w:pStyle w:val="10"/>
        <w:tabs>
          <w:tab w:val="right" w:leader="dot" w:pos="8306"/>
        </w:tabs>
        <w:jc w:val="center"/>
        <w:rPr>
          <w:rFonts w:hint="eastAsia" w:ascii="楷体_GB2312" w:hAnsi="楷体_GB2312" w:eastAsia="楷体_GB2312" w:cs="楷体_GB2312"/>
          <w:sz w:val="30"/>
          <w:szCs w:val="30"/>
          <w:lang w:val="en-US" w:eastAsia="zh-CN"/>
        </w:rPr>
      </w:pPr>
      <w:r>
        <w:rPr>
          <w:rFonts w:hint="eastAsia" w:ascii="华文楷体" w:hAnsi="华文楷体" w:eastAsia="华文楷体" w:cs="华文楷体"/>
          <w:szCs w:val="30"/>
          <w:lang w:val="en-US" w:eastAsia="zh-CN"/>
        </w:rPr>
        <w:fldChar w:fldCharType="end"/>
      </w:r>
    </w:p>
    <w:p w14:paraId="0A4EFB6B">
      <w:pPr>
        <w:rPr>
          <w:rFonts w:hint="eastAsia" w:ascii="楷体_GB2312" w:hAnsi="楷体_GB2312" w:eastAsia="楷体_GB2312" w:cs="楷体_GB2312"/>
          <w:sz w:val="30"/>
          <w:szCs w:val="30"/>
          <w:lang w:val="en-US" w:eastAsia="zh-CN"/>
        </w:rPr>
      </w:pPr>
      <w:r>
        <w:rPr>
          <w:rFonts w:hint="eastAsia" w:ascii="楷体_GB2312" w:hAnsi="楷体_GB2312" w:eastAsia="楷体_GB2312" w:cs="楷体_GB2312"/>
          <w:sz w:val="30"/>
          <w:szCs w:val="30"/>
          <w:lang w:val="en-US" w:eastAsia="zh-CN"/>
        </w:rPr>
        <w:br w:type="page"/>
      </w:r>
    </w:p>
    <w:p w14:paraId="60B1E000">
      <w:pPr>
        <w:pStyle w:val="10"/>
        <w:tabs>
          <w:tab w:val="right" w:leader="dot" w:pos="8306"/>
        </w:tabs>
        <w:jc w:val="center"/>
        <w:rPr>
          <w:rFonts w:hint="eastAsia" w:ascii="方正小标宋简体" w:hAnsi="方正小标宋简体" w:eastAsia="方正小标宋简体" w:cs="方正小标宋简体"/>
          <w:sz w:val="52"/>
          <w:szCs w:val="52"/>
          <w:lang w:val="en-US" w:eastAsia="zh-CN"/>
        </w:rPr>
      </w:pPr>
      <w:r>
        <w:rPr>
          <w:rFonts w:hint="eastAsia" w:ascii="方正小标宋简体" w:hAnsi="方正小标宋简体" w:eastAsia="方正小标宋简体" w:cs="方正小标宋简体"/>
          <w:sz w:val="52"/>
          <w:szCs w:val="52"/>
          <w:lang w:val="en-US" w:eastAsia="zh-CN"/>
        </w:rPr>
        <w:t>表 目 录</w:t>
      </w:r>
    </w:p>
    <w:p w14:paraId="201D8CDD">
      <w:pPr>
        <w:rPr>
          <w:rFonts w:hint="eastAsia"/>
          <w:lang w:val="en-US" w:eastAsia="zh-CN"/>
        </w:rPr>
      </w:pPr>
    </w:p>
    <w:p w14:paraId="0FD0CC56">
      <w:pPr>
        <w:pStyle w:val="10"/>
        <w:tabs>
          <w:tab w:val="right" w:leader="dot" w:pos="8306"/>
        </w:tabs>
      </w:pPr>
      <w:r>
        <w:rPr>
          <w:rFonts w:hint="eastAsia" w:ascii="华文楷体" w:hAnsi="华文楷体" w:eastAsia="华文楷体" w:cs="华文楷体"/>
          <w:sz w:val="30"/>
          <w:szCs w:val="30"/>
          <w:lang w:val="en-US" w:eastAsia="zh-CN"/>
        </w:rPr>
        <w:fldChar w:fldCharType="begin"/>
      </w:r>
      <w:r>
        <w:rPr>
          <w:rFonts w:hint="eastAsia" w:ascii="华文楷体" w:hAnsi="华文楷体" w:eastAsia="华文楷体" w:cs="华文楷体"/>
          <w:sz w:val="30"/>
          <w:szCs w:val="30"/>
          <w:lang w:val="en-US" w:eastAsia="zh-CN"/>
        </w:rPr>
        <w:instrText xml:space="preserve">TOC \t "年报表格,1,标题 1,8" \h</w:instrText>
      </w:r>
      <w:r>
        <w:rPr>
          <w:rFonts w:hint="eastAsia" w:ascii="华文楷体" w:hAnsi="华文楷体" w:eastAsia="华文楷体" w:cs="华文楷体"/>
          <w:sz w:val="30"/>
          <w:szCs w:val="30"/>
          <w:lang w:val="en-US" w:eastAsia="zh-CN"/>
        </w:rPr>
        <w:fldChar w:fldCharType="separate"/>
      </w: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_Toc15663 </w:instrText>
      </w:r>
      <w:r>
        <w:rPr>
          <w:rFonts w:hint="eastAsia" w:ascii="华文楷体" w:hAnsi="华文楷体" w:eastAsia="华文楷体" w:cs="华文楷体"/>
          <w:szCs w:val="30"/>
          <w:lang w:val="en-US" w:eastAsia="zh-CN"/>
        </w:rPr>
        <w:fldChar w:fldCharType="separate"/>
      </w:r>
      <w:r>
        <w:rPr>
          <w:rFonts w:hint="default"/>
          <w:lang w:val="en-US" w:eastAsia="zh-CN"/>
        </w:rPr>
        <w:t>表1：九江市202</w:t>
      </w:r>
      <w:r>
        <w:rPr>
          <w:rFonts w:hint="eastAsia"/>
          <w:lang w:val="en-US" w:eastAsia="zh-CN"/>
        </w:rPr>
        <w:t>3</w:t>
      </w:r>
      <w:r>
        <w:rPr>
          <w:rFonts w:hint="default"/>
          <w:lang w:val="en-US" w:eastAsia="zh-CN"/>
        </w:rPr>
        <w:t>年具有招生资质中等职业学校名单</w:t>
      </w:r>
      <w:r>
        <w:tab/>
      </w:r>
      <w:r>
        <w:fldChar w:fldCharType="begin"/>
      </w:r>
      <w:r>
        <w:instrText xml:space="preserve"> PAGEREF _Toc15663 \h </w:instrText>
      </w:r>
      <w:r>
        <w:fldChar w:fldCharType="separate"/>
      </w:r>
      <w:r>
        <w:t>2</w:t>
      </w:r>
      <w:r>
        <w:fldChar w:fldCharType="end"/>
      </w:r>
      <w:r>
        <w:rPr>
          <w:rFonts w:hint="eastAsia" w:ascii="华文楷体" w:hAnsi="华文楷体" w:eastAsia="华文楷体" w:cs="华文楷体"/>
          <w:szCs w:val="30"/>
          <w:lang w:val="en-US" w:eastAsia="zh-CN"/>
        </w:rPr>
        <w:fldChar w:fldCharType="end"/>
      </w:r>
    </w:p>
    <w:p w14:paraId="3C549EC2">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_Toc28160 </w:instrText>
      </w:r>
      <w:r>
        <w:rPr>
          <w:rFonts w:hint="eastAsia" w:ascii="华文楷体" w:hAnsi="华文楷体" w:eastAsia="华文楷体" w:cs="华文楷体"/>
          <w:szCs w:val="30"/>
          <w:lang w:val="en-US" w:eastAsia="zh-CN"/>
        </w:rPr>
        <w:fldChar w:fldCharType="separate"/>
      </w:r>
      <w:r>
        <w:rPr>
          <w:rFonts w:hint="default"/>
          <w:lang w:val="en-US" w:eastAsia="zh-CN"/>
        </w:rPr>
        <w:t>表2：全市各类学校中职阶段教育在校生情况一览表</w:t>
      </w:r>
      <w:r>
        <w:tab/>
      </w:r>
      <w:r>
        <w:fldChar w:fldCharType="begin"/>
      </w:r>
      <w:r>
        <w:instrText xml:space="preserve"> PAGEREF _Toc28160 \h </w:instrText>
      </w:r>
      <w:r>
        <w:fldChar w:fldCharType="separate"/>
      </w:r>
      <w:r>
        <w:t>3</w:t>
      </w:r>
      <w:r>
        <w:fldChar w:fldCharType="end"/>
      </w:r>
      <w:r>
        <w:rPr>
          <w:rFonts w:hint="eastAsia" w:ascii="华文楷体" w:hAnsi="华文楷体" w:eastAsia="华文楷体" w:cs="华文楷体"/>
          <w:szCs w:val="30"/>
          <w:lang w:val="en-US" w:eastAsia="zh-CN"/>
        </w:rPr>
        <w:fldChar w:fldCharType="end"/>
      </w:r>
    </w:p>
    <w:p w14:paraId="3D7F20F8">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_Toc25187 </w:instrText>
      </w:r>
      <w:r>
        <w:rPr>
          <w:rFonts w:hint="eastAsia" w:ascii="华文楷体" w:hAnsi="华文楷体" w:eastAsia="华文楷体" w:cs="华文楷体"/>
          <w:szCs w:val="30"/>
          <w:lang w:val="en-US" w:eastAsia="zh-CN"/>
        </w:rPr>
        <w:fldChar w:fldCharType="separate"/>
      </w:r>
      <w:r>
        <w:rPr>
          <w:rFonts w:hint="eastAsia"/>
          <w:lang w:val="en-US" w:eastAsia="zh-CN"/>
        </w:rPr>
        <w:t>表3：中等职业教育在校生历年规模统计表</w:t>
      </w:r>
      <w:r>
        <w:tab/>
      </w:r>
      <w:r>
        <w:fldChar w:fldCharType="begin"/>
      </w:r>
      <w:r>
        <w:instrText xml:space="preserve"> PAGEREF _Toc25187 \h </w:instrText>
      </w:r>
      <w:r>
        <w:fldChar w:fldCharType="separate"/>
      </w:r>
      <w:r>
        <w:t>4</w:t>
      </w:r>
      <w:r>
        <w:fldChar w:fldCharType="end"/>
      </w:r>
      <w:r>
        <w:rPr>
          <w:rFonts w:hint="eastAsia" w:ascii="华文楷体" w:hAnsi="华文楷体" w:eastAsia="华文楷体" w:cs="华文楷体"/>
          <w:szCs w:val="30"/>
          <w:lang w:val="en-US" w:eastAsia="zh-CN"/>
        </w:rPr>
        <w:fldChar w:fldCharType="end"/>
      </w:r>
    </w:p>
    <w:p w14:paraId="70AEC966">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_Toc25318 </w:instrText>
      </w:r>
      <w:r>
        <w:rPr>
          <w:rFonts w:hint="eastAsia" w:ascii="华文楷体" w:hAnsi="华文楷体" w:eastAsia="华文楷体" w:cs="华文楷体"/>
          <w:szCs w:val="30"/>
          <w:lang w:val="en-US" w:eastAsia="zh-CN"/>
        </w:rPr>
        <w:fldChar w:fldCharType="separate"/>
      </w:r>
      <w:r>
        <w:rPr>
          <w:rFonts w:hint="eastAsia"/>
          <w:lang w:val="en-US" w:eastAsia="zh-CN"/>
        </w:rPr>
        <w:t>表4：2023年九江市中职教育招生专业一览表</w:t>
      </w:r>
      <w:r>
        <w:tab/>
      </w:r>
      <w:r>
        <w:fldChar w:fldCharType="begin"/>
      </w:r>
      <w:r>
        <w:instrText xml:space="preserve"> PAGEREF _Toc25318 \h </w:instrText>
      </w:r>
      <w:r>
        <w:fldChar w:fldCharType="separate"/>
      </w:r>
      <w:r>
        <w:t>6</w:t>
      </w:r>
      <w:r>
        <w:fldChar w:fldCharType="end"/>
      </w:r>
      <w:r>
        <w:rPr>
          <w:rFonts w:hint="eastAsia" w:ascii="华文楷体" w:hAnsi="华文楷体" w:eastAsia="华文楷体" w:cs="华文楷体"/>
          <w:szCs w:val="30"/>
          <w:lang w:val="en-US" w:eastAsia="zh-CN"/>
        </w:rPr>
        <w:fldChar w:fldCharType="end"/>
      </w:r>
    </w:p>
    <w:p w14:paraId="3A0523A0">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_Toc12746 </w:instrText>
      </w:r>
      <w:r>
        <w:rPr>
          <w:rFonts w:hint="eastAsia" w:ascii="华文楷体" w:hAnsi="华文楷体" w:eastAsia="华文楷体" w:cs="华文楷体"/>
          <w:szCs w:val="30"/>
          <w:lang w:val="en-US" w:eastAsia="zh-CN"/>
        </w:rPr>
        <w:fldChar w:fldCharType="separate"/>
      </w:r>
      <w:r>
        <w:rPr>
          <w:rFonts w:hint="eastAsia"/>
          <w:lang w:val="en-US" w:eastAsia="zh-CN"/>
        </w:rPr>
        <w:t>表5：满意度调查（综合）一览表</w:t>
      </w:r>
      <w:r>
        <w:tab/>
      </w:r>
      <w:r>
        <w:fldChar w:fldCharType="begin"/>
      </w:r>
      <w:r>
        <w:instrText xml:space="preserve"> PAGEREF _Toc12746 \h </w:instrText>
      </w:r>
      <w:r>
        <w:fldChar w:fldCharType="separate"/>
      </w:r>
      <w:r>
        <w:t>12</w:t>
      </w:r>
      <w:r>
        <w:fldChar w:fldCharType="end"/>
      </w:r>
      <w:r>
        <w:rPr>
          <w:rFonts w:hint="eastAsia" w:ascii="华文楷体" w:hAnsi="华文楷体" w:eastAsia="华文楷体" w:cs="华文楷体"/>
          <w:szCs w:val="30"/>
          <w:lang w:val="en-US" w:eastAsia="zh-CN"/>
        </w:rPr>
        <w:fldChar w:fldCharType="end"/>
      </w:r>
    </w:p>
    <w:p w14:paraId="22A93AD1">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_Toc22406 </w:instrText>
      </w:r>
      <w:r>
        <w:rPr>
          <w:rFonts w:hint="eastAsia" w:ascii="华文楷体" w:hAnsi="华文楷体" w:eastAsia="华文楷体" w:cs="华文楷体"/>
          <w:szCs w:val="30"/>
          <w:lang w:val="en-US" w:eastAsia="zh-CN"/>
        </w:rPr>
        <w:fldChar w:fldCharType="separate"/>
      </w:r>
      <w:r>
        <w:rPr>
          <w:rFonts w:hint="default"/>
          <w:lang w:val="en-US" w:eastAsia="zh-CN"/>
        </w:rPr>
        <w:t>表</w:t>
      </w:r>
      <w:r>
        <w:rPr>
          <w:rFonts w:hint="eastAsia"/>
          <w:lang w:val="en-US" w:eastAsia="zh-CN"/>
        </w:rPr>
        <w:t>6</w:t>
      </w:r>
      <w:r>
        <w:rPr>
          <w:rFonts w:hint="default"/>
          <w:lang w:val="en-US" w:eastAsia="zh-CN"/>
        </w:rPr>
        <w:t>：</w:t>
      </w:r>
      <w:r>
        <w:rPr>
          <w:rFonts w:hint="eastAsia"/>
          <w:lang w:val="en-US" w:eastAsia="zh-CN"/>
        </w:rPr>
        <w:t>中职毕业生</w:t>
      </w:r>
      <w:r>
        <w:rPr>
          <w:rFonts w:hint="default"/>
          <w:lang w:val="en-US" w:eastAsia="zh-CN"/>
        </w:rPr>
        <w:t>历年就业情况统计表</w:t>
      </w:r>
      <w:r>
        <w:tab/>
      </w:r>
      <w:r>
        <w:fldChar w:fldCharType="begin"/>
      </w:r>
      <w:r>
        <w:instrText xml:space="preserve"> PAGEREF _Toc22406 \h </w:instrText>
      </w:r>
      <w:r>
        <w:fldChar w:fldCharType="separate"/>
      </w:r>
      <w:r>
        <w:t>13</w:t>
      </w:r>
      <w:r>
        <w:fldChar w:fldCharType="end"/>
      </w:r>
      <w:r>
        <w:rPr>
          <w:rFonts w:hint="eastAsia" w:ascii="华文楷体" w:hAnsi="华文楷体" w:eastAsia="华文楷体" w:cs="华文楷体"/>
          <w:szCs w:val="30"/>
          <w:lang w:val="en-US" w:eastAsia="zh-CN"/>
        </w:rPr>
        <w:fldChar w:fldCharType="end"/>
      </w:r>
    </w:p>
    <w:p w14:paraId="51250052">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_Toc25609 </w:instrText>
      </w:r>
      <w:r>
        <w:rPr>
          <w:rFonts w:hint="eastAsia" w:ascii="华文楷体" w:hAnsi="华文楷体" w:eastAsia="华文楷体" w:cs="华文楷体"/>
          <w:szCs w:val="30"/>
          <w:lang w:val="en-US" w:eastAsia="zh-CN"/>
        </w:rPr>
        <w:fldChar w:fldCharType="separate"/>
      </w:r>
      <w:r>
        <w:rPr>
          <w:rFonts w:hint="eastAsia"/>
          <w:lang w:val="en-US" w:eastAsia="zh-CN"/>
        </w:rPr>
        <w:t>表7：中职毕业生历年升学情况统计表</w:t>
      </w:r>
      <w:r>
        <w:tab/>
      </w:r>
      <w:r>
        <w:fldChar w:fldCharType="begin"/>
      </w:r>
      <w:r>
        <w:instrText xml:space="preserve"> PAGEREF _Toc25609 \h </w:instrText>
      </w:r>
      <w:r>
        <w:fldChar w:fldCharType="separate"/>
      </w:r>
      <w:r>
        <w:t>15</w:t>
      </w:r>
      <w:r>
        <w:fldChar w:fldCharType="end"/>
      </w:r>
      <w:r>
        <w:rPr>
          <w:rFonts w:hint="eastAsia" w:ascii="华文楷体" w:hAnsi="华文楷体" w:eastAsia="华文楷体" w:cs="华文楷体"/>
          <w:szCs w:val="30"/>
          <w:lang w:val="en-US" w:eastAsia="zh-CN"/>
        </w:rPr>
        <w:fldChar w:fldCharType="end"/>
      </w:r>
    </w:p>
    <w:p w14:paraId="3F9410FF">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楷体_GB2312" w:hAnsi="楷体_GB2312" w:eastAsia="楷体_GB2312" w:cs="楷体_GB2312"/>
          <w:sz w:val="30"/>
          <w:szCs w:val="30"/>
          <w:lang w:val="en-US" w:eastAsia="zh-CN"/>
        </w:rPr>
      </w:pPr>
      <w:r>
        <w:rPr>
          <w:rFonts w:hint="eastAsia" w:ascii="华文楷体" w:hAnsi="华文楷体" w:eastAsia="华文楷体" w:cs="华文楷体"/>
          <w:szCs w:val="30"/>
          <w:lang w:val="en-US" w:eastAsia="zh-CN"/>
        </w:rPr>
        <w:fldChar w:fldCharType="end"/>
      </w:r>
    </w:p>
    <w:p w14:paraId="449879C2">
      <w:pPr>
        <w:rPr>
          <w:rFonts w:hint="eastAsia" w:ascii="楷体_GB2312" w:hAnsi="楷体_GB2312" w:eastAsia="楷体_GB2312" w:cs="楷体_GB2312"/>
          <w:sz w:val="30"/>
          <w:szCs w:val="30"/>
          <w:lang w:val="en-US" w:eastAsia="zh-CN"/>
        </w:rPr>
      </w:pPr>
      <w:r>
        <w:rPr>
          <w:rFonts w:hint="eastAsia" w:ascii="楷体_GB2312" w:hAnsi="楷体_GB2312" w:eastAsia="楷体_GB2312" w:cs="楷体_GB2312"/>
          <w:sz w:val="30"/>
          <w:szCs w:val="30"/>
          <w:lang w:val="en-US" w:eastAsia="zh-CN"/>
        </w:rPr>
        <w:br w:type="page"/>
      </w:r>
    </w:p>
    <w:p w14:paraId="4A5111DE">
      <w:pPr>
        <w:pStyle w:val="10"/>
        <w:tabs>
          <w:tab w:val="right" w:leader="dot" w:pos="8306"/>
        </w:tabs>
        <w:jc w:val="center"/>
        <w:rPr>
          <w:rFonts w:hint="eastAsia" w:ascii="方正小标宋简体" w:hAnsi="方正小标宋简体" w:eastAsia="方正小标宋简体" w:cs="方正小标宋简体"/>
          <w:sz w:val="52"/>
          <w:szCs w:val="52"/>
          <w:lang w:val="en-US" w:eastAsia="zh-CN"/>
        </w:rPr>
      </w:pPr>
      <w:r>
        <w:rPr>
          <w:rFonts w:hint="eastAsia" w:ascii="方正小标宋简体" w:hAnsi="方正小标宋简体" w:eastAsia="方正小标宋简体" w:cs="方正小标宋简体"/>
          <w:sz w:val="52"/>
          <w:szCs w:val="52"/>
          <w:lang w:val="en-US" w:eastAsia="zh-CN"/>
        </w:rPr>
        <w:t>图 目 录</w:t>
      </w:r>
    </w:p>
    <w:p w14:paraId="20F34F38">
      <w:pPr>
        <w:rPr>
          <w:rFonts w:hint="eastAsia"/>
          <w:lang w:val="en-US" w:eastAsia="zh-CN"/>
        </w:rPr>
      </w:pPr>
    </w:p>
    <w:p w14:paraId="5EC8D53A">
      <w:pPr>
        <w:pStyle w:val="10"/>
        <w:tabs>
          <w:tab w:val="right" w:leader="dot" w:pos="8306"/>
        </w:tabs>
      </w:pPr>
      <w:r>
        <w:rPr>
          <w:rFonts w:hint="eastAsia" w:ascii="华文楷体" w:hAnsi="华文楷体" w:eastAsia="华文楷体" w:cs="华文楷体"/>
          <w:sz w:val="30"/>
          <w:szCs w:val="30"/>
          <w:lang w:val="en-US" w:eastAsia="zh-CN"/>
        </w:rPr>
        <w:fldChar w:fldCharType="begin"/>
      </w:r>
      <w:r>
        <w:rPr>
          <w:rFonts w:hint="eastAsia" w:ascii="华文楷体" w:hAnsi="华文楷体" w:eastAsia="华文楷体" w:cs="华文楷体"/>
          <w:sz w:val="30"/>
          <w:szCs w:val="30"/>
          <w:lang w:val="en-US" w:eastAsia="zh-CN"/>
        </w:rPr>
        <w:instrText xml:space="preserve">TOC \t "年报图片,1,标题 1,8" \h</w:instrText>
      </w:r>
      <w:r>
        <w:rPr>
          <w:rFonts w:hint="eastAsia" w:ascii="华文楷体" w:hAnsi="华文楷体" w:eastAsia="华文楷体" w:cs="华文楷体"/>
          <w:sz w:val="30"/>
          <w:szCs w:val="30"/>
          <w:lang w:val="en-US" w:eastAsia="zh-CN"/>
        </w:rPr>
        <w:fldChar w:fldCharType="separate"/>
      </w: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_Toc19696 </w:instrText>
      </w:r>
      <w:r>
        <w:rPr>
          <w:rFonts w:hint="eastAsia" w:ascii="华文楷体" w:hAnsi="华文楷体" w:eastAsia="华文楷体" w:cs="华文楷体"/>
          <w:szCs w:val="30"/>
          <w:lang w:val="en-US" w:eastAsia="zh-CN"/>
        </w:rPr>
        <w:fldChar w:fldCharType="separate"/>
      </w:r>
      <w:r>
        <w:rPr>
          <w:rFonts w:hint="eastAsia"/>
          <w:lang w:val="en-US" w:eastAsia="zh-CN"/>
        </w:rPr>
        <w:t>图1：</w:t>
      </w:r>
      <w:r>
        <w:rPr>
          <w:rFonts w:hint="default"/>
          <w:lang w:val="en-US" w:eastAsia="zh-CN"/>
        </w:rPr>
        <w:t>赣北电子工业学校</w:t>
      </w:r>
      <w:r>
        <w:rPr>
          <w:rFonts w:hint="eastAsia"/>
          <w:lang w:val="en-US" w:eastAsia="zh-CN"/>
        </w:rPr>
        <w:t>新团员参加入团仪式</w:t>
      </w:r>
      <w:r>
        <w:tab/>
      </w:r>
      <w:r>
        <w:fldChar w:fldCharType="begin"/>
      </w:r>
      <w:r>
        <w:instrText xml:space="preserve"> PAGEREF _Toc19696 \h </w:instrText>
      </w:r>
      <w:r>
        <w:fldChar w:fldCharType="separate"/>
      </w:r>
      <w:r>
        <w:t>10</w:t>
      </w:r>
      <w:r>
        <w:fldChar w:fldCharType="end"/>
      </w:r>
      <w:r>
        <w:rPr>
          <w:rFonts w:hint="eastAsia" w:ascii="华文楷体" w:hAnsi="华文楷体" w:eastAsia="华文楷体" w:cs="华文楷体"/>
          <w:szCs w:val="30"/>
          <w:lang w:val="en-US" w:eastAsia="zh-CN"/>
        </w:rPr>
        <w:fldChar w:fldCharType="end"/>
      </w:r>
    </w:p>
    <w:p w14:paraId="5EDB099F">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_Toc15950 </w:instrText>
      </w:r>
      <w:r>
        <w:rPr>
          <w:rFonts w:hint="eastAsia" w:ascii="华文楷体" w:hAnsi="华文楷体" w:eastAsia="华文楷体" w:cs="华文楷体"/>
          <w:szCs w:val="30"/>
          <w:lang w:val="en-US" w:eastAsia="zh-CN"/>
        </w:rPr>
        <w:fldChar w:fldCharType="separate"/>
      </w:r>
      <w:r>
        <w:rPr>
          <w:rFonts w:hint="eastAsia"/>
          <w:lang w:val="en-US" w:eastAsia="zh-CN"/>
        </w:rPr>
        <w:t>图2：九江市卫生学校的学生跳蚤市场</w:t>
      </w:r>
      <w:r>
        <w:tab/>
      </w:r>
      <w:r>
        <w:fldChar w:fldCharType="begin"/>
      </w:r>
      <w:r>
        <w:instrText xml:space="preserve"> PAGEREF _Toc15950 \h </w:instrText>
      </w:r>
      <w:r>
        <w:fldChar w:fldCharType="separate"/>
      </w:r>
      <w:r>
        <w:t>11</w:t>
      </w:r>
      <w:r>
        <w:fldChar w:fldCharType="end"/>
      </w:r>
      <w:r>
        <w:rPr>
          <w:rFonts w:hint="eastAsia" w:ascii="华文楷体" w:hAnsi="华文楷体" w:eastAsia="华文楷体" w:cs="华文楷体"/>
          <w:szCs w:val="30"/>
          <w:lang w:val="en-US" w:eastAsia="zh-CN"/>
        </w:rPr>
        <w:fldChar w:fldCharType="end"/>
      </w:r>
    </w:p>
    <w:p w14:paraId="3C224A61">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_Toc27075 </w:instrText>
      </w:r>
      <w:r>
        <w:rPr>
          <w:rFonts w:hint="eastAsia" w:ascii="华文楷体" w:hAnsi="华文楷体" w:eastAsia="华文楷体" w:cs="华文楷体"/>
          <w:szCs w:val="30"/>
          <w:lang w:val="en-US" w:eastAsia="zh-CN"/>
        </w:rPr>
        <w:fldChar w:fldCharType="separate"/>
      </w:r>
      <w:r>
        <w:rPr>
          <w:rFonts w:hint="eastAsia"/>
          <w:lang w:val="en-US" w:eastAsia="zh-CN"/>
        </w:rPr>
        <w:t>图3：都昌中专组织汽车类专业技能展示</w:t>
      </w:r>
      <w:r>
        <w:tab/>
      </w:r>
      <w:r>
        <w:fldChar w:fldCharType="begin"/>
      </w:r>
      <w:r>
        <w:instrText xml:space="preserve"> PAGEREF _Toc27075 \h </w:instrText>
      </w:r>
      <w:r>
        <w:fldChar w:fldCharType="separate"/>
      </w:r>
      <w:r>
        <w:t>11</w:t>
      </w:r>
      <w:r>
        <w:fldChar w:fldCharType="end"/>
      </w:r>
      <w:r>
        <w:rPr>
          <w:rFonts w:hint="eastAsia" w:ascii="华文楷体" w:hAnsi="华文楷体" w:eastAsia="华文楷体" w:cs="华文楷体"/>
          <w:szCs w:val="30"/>
          <w:lang w:val="en-US" w:eastAsia="zh-CN"/>
        </w:rPr>
        <w:fldChar w:fldCharType="end"/>
      </w:r>
    </w:p>
    <w:p w14:paraId="5CE6DA41">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_Toc32484 </w:instrText>
      </w:r>
      <w:r>
        <w:rPr>
          <w:rFonts w:hint="eastAsia" w:ascii="华文楷体" w:hAnsi="华文楷体" w:eastAsia="华文楷体" w:cs="华文楷体"/>
          <w:szCs w:val="30"/>
          <w:lang w:val="en-US" w:eastAsia="zh-CN"/>
        </w:rPr>
        <w:fldChar w:fldCharType="separate"/>
      </w:r>
      <w:r>
        <w:rPr>
          <w:rFonts w:hint="eastAsia"/>
          <w:lang w:val="en-US" w:eastAsia="zh-CN"/>
        </w:rPr>
        <w:t>图4：2023届中职毕业生面向三次产业就业人数比例</w:t>
      </w:r>
      <w:r>
        <w:tab/>
      </w:r>
      <w:r>
        <w:fldChar w:fldCharType="begin"/>
      </w:r>
      <w:r>
        <w:instrText xml:space="preserve"> PAGEREF _Toc32484 \h </w:instrText>
      </w:r>
      <w:r>
        <w:fldChar w:fldCharType="separate"/>
      </w:r>
      <w:r>
        <w:t>14</w:t>
      </w:r>
      <w:r>
        <w:fldChar w:fldCharType="end"/>
      </w:r>
      <w:r>
        <w:rPr>
          <w:rFonts w:hint="eastAsia" w:ascii="华文楷体" w:hAnsi="华文楷体" w:eastAsia="华文楷体" w:cs="华文楷体"/>
          <w:szCs w:val="30"/>
          <w:lang w:val="en-US" w:eastAsia="zh-CN"/>
        </w:rPr>
        <w:fldChar w:fldCharType="end"/>
      </w:r>
    </w:p>
    <w:p w14:paraId="239D5478">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_Toc30320 </w:instrText>
      </w:r>
      <w:r>
        <w:rPr>
          <w:rFonts w:hint="eastAsia" w:ascii="华文楷体" w:hAnsi="华文楷体" w:eastAsia="华文楷体" w:cs="华文楷体"/>
          <w:szCs w:val="30"/>
          <w:lang w:val="en-US" w:eastAsia="zh-CN"/>
        </w:rPr>
        <w:fldChar w:fldCharType="separate"/>
      </w:r>
      <w:r>
        <w:rPr>
          <w:rFonts w:hint="eastAsia"/>
          <w:lang w:val="en-US" w:eastAsia="zh-CN"/>
        </w:rPr>
        <w:t>图5：彭泽中专学生获得全国技能大赛一等奖</w:t>
      </w:r>
      <w:r>
        <w:tab/>
      </w:r>
      <w:r>
        <w:fldChar w:fldCharType="begin"/>
      </w:r>
      <w:r>
        <w:instrText xml:space="preserve"> PAGEREF _Toc30320 \h </w:instrText>
      </w:r>
      <w:r>
        <w:fldChar w:fldCharType="separate"/>
      </w:r>
      <w:r>
        <w:t>16</w:t>
      </w:r>
      <w:r>
        <w:fldChar w:fldCharType="end"/>
      </w:r>
      <w:r>
        <w:rPr>
          <w:rFonts w:hint="eastAsia" w:ascii="华文楷体" w:hAnsi="华文楷体" w:eastAsia="华文楷体" w:cs="华文楷体"/>
          <w:szCs w:val="30"/>
          <w:lang w:val="en-US" w:eastAsia="zh-CN"/>
        </w:rPr>
        <w:fldChar w:fldCharType="end"/>
      </w:r>
    </w:p>
    <w:p w14:paraId="62A970B6">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_Toc12977 </w:instrText>
      </w:r>
      <w:r>
        <w:rPr>
          <w:rFonts w:hint="eastAsia" w:ascii="华文楷体" w:hAnsi="华文楷体" w:eastAsia="华文楷体" w:cs="华文楷体"/>
          <w:szCs w:val="30"/>
          <w:lang w:val="en-US" w:eastAsia="zh-CN"/>
        </w:rPr>
        <w:fldChar w:fldCharType="separate"/>
      </w:r>
      <w:r>
        <w:rPr>
          <w:rFonts w:hint="eastAsia"/>
          <w:lang w:val="en-US" w:eastAsia="zh-CN"/>
        </w:rPr>
        <w:t>图6：彭泽中专组织学生到棉船镇幸福家院进行志愿服务</w:t>
      </w:r>
      <w:r>
        <w:tab/>
      </w:r>
      <w:r>
        <w:fldChar w:fldCharType="begin"/>
      </w:r>
      <w:r>
        <w:instrText xml:space="preserve"> PAGEREF _Toc12977 \h </w:instrText>
      </w:r>
      <w:r>
        <w:fldChar w:fldCharType="separate"/>
      </w:r>
      <w:r>
        <w:t>20</w:t>
      </w:r>
      <w:r>
        <w:fldChar w:fldCharType="end"/>
      </w:r>
      <w:r>
        <w:rPr>
          <w:rFonts w:hint="eastAsia" w:ascii="华文楷体" w:hAnsi="华文楷体" w:eastAsia="华文楷体" w:cs="华文楷体"/>
          <w:szCs w:val="30"/>
          <w:lang w:val="en-US" w:eastAsia="zh-CN"/>
        </w:rPr>
        <w:fldChar w:fldCharType="end"/>
      </w:r>
    </w:p>
    <w:p w14:paraId="0DE65F35">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_Toc32302 </w:instrText>
      </w:r>
      <w:r>
        <w:rPr>
          <w:rFonts w:hint="eastAsia" w:ascii="华文楷体" w:hAnsi="华文楷体" w:eastAsia="华文楷体" w:cs="华文楷体"/>
          <w:szCs w:val="30"/>
          <w:lang w:val="en-US" w:eastAsia="zh-CN"/>
        </w:rPr>
        <w:fldChar w:fldCharType="separate"/>
      </w:r>
      <w:r>
        <w:rPr>
          <w:rFonts w:hint="eastAsia"/>
          <w:lang w:val="en-US" w:eastAsia="zh-CN"/>
        </w:rPr>
        <w:t>图7：九江市卫生学校组织志愿者进入永安乡志愿服务</w:t>
      </w:r>
      <w:r>
        <w:tab/>
      </w:r>
      <w:r>
        <w:fldChar w:fldCharType="begin"/>
      </w:r>
      <w:r>
        <w:instrText xml:space="preserve"> PAGEREF _Toc32302 \h </w:instrText>
      </w:r>
      <w:r>
        <w:fldChar w:fldCharType="separate"/>
      </w:r>
      <w:r>
        <w:t>20</w:t>
      </w:r>
      <w:r>
        <w:fldChar w:fldCharType="end"/>
      </w:r>
      <w:r>
        <w:rPr>
          <w:rFonts w:hint="eastAsia" w:ascii="华文楷体" w:hAnsi="华文楷体" w:eastAsia="华文楷体" w:cs="华文楷体"/>
          <w:szCs w:val="30"/>
          <w:lang w:val="en-US" w:eastAsia="zh-CN"/>
        </w:rPr>
        <w:fldChar w:fldCharType="end"/>
      </w:r>
    </w:p>
    <w:p w14:paraId="1CC67469">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_Toc8234 </w:instrText>
      </w:r>
      <w:r>
        <w:rPr>
          <w:rFonts w:hint="eastAsia" w:ascii="华文楷体" w:hAnsi="华文楷体" w:eastAsia="华文楷体" w:cs="华文楷体"/>
          <w:szCs w:val="30"/>
          <w:lang w:val="en-US" w:eastAsia="zh-CN"/>
        </w:rPr>
        <w:fldChar w:fldCharType="separate"/>
      </w:r>
      <w:r>
        <w:rPr>
          <w:rFonts w:hint="eastAsia"/>
          <w:lang w:val="en-US" w:eastAsia="zh-CN"/>
        </w:rPr>
        <w:t>图8：德安中专思政大课堂</w:t>
      </w:r>
      <w:r>
        <w:tab/>
      </w:r>
      <w:r>
        <w:fldChar w:fldCharType="begin"/>
      </w:r>
      <w:r>
        <w:instrText xml:space="preserve"> PAGEREF _Toc8234 \h </w:instrText>
      </w:r>
      <w:r>
        <w:fldChar w:fldCharType="separate"/>
      </w:r>
      <w:r>
        <w:t>21</w:t>
      </w:r>
      <w:r>
        <w:fldChar w:fldCharType="end"/>
      </w:r>
      <w:r>
        <w:rPr>
          <w:rFonts w:hint="eastAsia" w:ascii="华文楷体" w:hAnsi="华文楷体" w:eastAsia="华文楷体" w:cs="华文楷体"/>
          <w:szCs w:val="30"/>
          <w:lang w:val="en-US" w:eastAsia="zh-CN"/>
        </w:rPr>
        <w:fldChar w:fldCharType="end"/>
      </w:r>
    </w:p>
    <w:p w14:paraId="726DD1A9">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_Toc23889 </w:instrText>
      </w:r>
      <w:r>
        <w:rPr>
          <w:rFonts w:hint="eastAsia" w:ascii="华文楷体" w:hAnsi="华文楷体" w:eastAsia="华文楷体" w:cs="华文楷体"/>
          <w:szCs w:val="30"/>
          <w:lang w:val="en-US" w:eastAsia="zh-CN"/>
        </w:rPr>
        <w:fldChar w:fldCharType="separate"/>
      </w:r>
      <w:r>
        <w:rPr>
          <w:rFonts w:hint="eastAsia"/>
          <w:lang w:val="en-US" w:eastAsia="zh-CN"/>
        </w:rPr>
        <w:t>图9：彭泽中专国旗护卫队</w:t>
      </w:r>
      <w:r>
        <w:tab/>
      </w:r>
      <w:r>
        <w:fldChar w:fldCharType="begin"/>
      </w:r>
      <w:r>
        <w:instrText xml:space="preserve"> PAGEREF _Toc23889 \h </w:instrText>
      </w:r>
      <w:r>
        <w:fldChar w:fldCharType="separate"/>
      </w:r>
      <w:r>
        <w:t>23</w:t>
      </w:r>
      <w:r>
        <w:fldChar w:fldCharType="end"/>
      </w:r>
      <w:r>
        <w:rPr>
          <w:rFonts w:hint="eastAsia" w:ascii="华文楷体" w:hAnsi="华文楷体" w:eastAsia="华文楷体" w:cs="华文楷体"/>
          <w:szCs w:val="30"/>
          <w:lang w:val="en-US" w:eastAsia="zh-CN"/>
        </w:rPr>
        <w:fldChar w:fldCharType="end"/>
      </w:r>
    </w:p>
    <w:p w14:paraId="797FEDE9">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_Toc27449 </w:instrText>
      </w:r>
      <w:r>
        <w:rPr>
          <w:rFonts w:hint="eastAsia" w:ascii="华文楷体" w:hAnsi="华文楷体" w:eastAsia="华文楷体" w:cs="华文楷体"/>
          <w:szCs w:val="30"/>
          <w:lang w:val="en-US" w:eastAsia="zh-CN"/>
        </w:rPr>
        <w:fldChar w:fldCharType="separate"/>
      </w:r>
      <w:r>
        <w:rPr>
          <w:rFonts w:hint="eastAsia"/>
          <w:lang w:val="en-US" w:eastAsia="zh-CN"/>
        </w:rPr>
        <w:t>图10：瑞昌中专太极功夫兴趣社团</w:t>
      </w:r>
      <w:r>
        <w:tab/>
      </w:r>
      <w:r>
        <w:fldChar w:fldCharType="begin"/>
      </w:r>
      <w:r>
        <w:instrText xml:space="preserve"> PAGEREF _Toc27449 \h </w:instrText>
      </w:r>
      <w:r>
        <w:fldChar w:fldCharType="separate"/>
      </w:r>
      <w:r>
        <w:t>24</w:t>
      </w:r>
      <w:r>
        <w:fldChar w:fldCharType="end"/>
      </w:r>
      <w:r>
        <w:rPr>
          <w:rFonts w:hint="eastAsia" w:ascii="华文楷体" w:hAnsi="华文楷体" w:eastAsia="华文楷体" w:cs="华文楷体"/>
          <w:szCs w:val="30"/>
          <w:lang w:val="en-US" w:eastAsia="zh-CN"/>
        </w:rPr>
        <w:fldChar w:fldCharType="end"/>
      </w:r>
    </w:p>
    <w:p w14:paraId="1519A70C">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_Toc9565 </w:instrText>
      </w:r>
      <w:r>
        <w:rPr>
          <w:rFonts w:hint="eastAsia" w:ascii="华文楷体" w:hAnsi="华文楷体" w:eastAsia="华文楷体" w:cs="华文楷体"/>
          <w:szCs w:val="30"/>
          <w:lang w:val="en-US" w:eastAsia="zh-CN"/>
        </w:rPr>
        <w:fldChar w:fldCharType="separate"/>
      </w:r>
      <w:r>
        <w:rPr>
          <w:rFonts w:hint="eastAsia"/>
          <w:lang w:val="en-US" w:eastAsia="zh-CN"/>
        </w:rPr>
        <w:t>图11：九江科技中专组织学生参观周敦颐纪念馆</w:t>
      </w:r>
      <w:r>
        <w:tab/>
      </w:r>
      <w:r>
        <w:fldChar w:fldCharType="begin"/>
      </w:r>
      <w:r>
        <w:instrText xml:space="preserve"> PAGEREF _Toc9565 \h </w:instrText>
      </w:r>
      <w:r>
        <w:fldChar w:fldCharType="separate"/>
      </w:r>
      <w:r>
        <w:t>25</w:t>
      </w:r>
      <w:r>
        <w:fldChar w:fldCharType="end"/>
      </w:r>
      <w:r>
        <w:rPr>
          <w:rFonts w:hint="eastAsia" w:ascii="华文楷体" w:hAnsi="华文楷体" w:eastAsia="华文楷体" w:cs="华文楷体"/>
          <w:szCs w:val="30"/>
          <w:lang w:val="en-US" w:eastAsia="zh-CN"/>
        </w:rPr>
        <w:fldChar w:fldCharType="end"/>
      </w:r>
    </w:p>
    <w:p w14:paraId="18524B3D">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_Toc28559 </w:instrText>
      </w:r>
      <w:r>
        <w:rPr>
          <w:rFonts w:hint="eastAsia" w:ascii="华文楷体" w:hAnsi="华文楷体" w:eastAsia="华文楷体" w:cs="华文楷体"/>
          <w:szCs w:val="30"/>
          <w:lang w:val="en-US" w:eastAsia="zh-CN"/>
        </w:rPr>
        <w:fldChar w:fldCharType="separate"/>
      </w:r>
      <w:r>
        <w:rPr>
          <w:rFonts w:hint="eastAsia"/>
          <w:lang w:val="en-US" w:eastAsia="zh-CN"/>
        </w:rPr>
        <w:t>图12：非遗传承人向都昌中专学生展示都昌鼓书</w:t>
      </w:r>
      <w:r>
        <w:tab/>
      </w:r>
      <w:r>
        <w:fldChar w:fldCharType="begin"/>
      </w:r>
      <w:r>
        <w:instrText xml:space="preserve"> PAGEREF _Toc28559 \h </w:instrText>
      </w:r>
      <w:r>
        <w:fldChar w:fldCharType="separate"/>
      </w:r>
      <w:r>
        <w:t>26</w:t>
      </w:r>
      <w:r>
        <w:fldChar w:fldCharType="end"/>
      </w:r>
      <w:r>
        <w:rPr>
          <w:rFonts w:hint="eastAsia" w:ascii="华文楷体" w:hAnsi="华文楷体" w:eastAsia="华文楷体" w:cs="华文楷体"/>
          <w:szCs w:val="30"/>
          <w:lang w:val="en-US" w:eastAsia="zh-CN"/>
        </w:rPr>
        <w:fldChar w:fldCharType="end"/>
      </w:r>
    </w:p>
    <w:p w14:paraId="1F2C275D">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_Toc31374 </w:instrText>
      </w:r>
      <w:r>
        <w:rPr>
          <w:rFonts w:hint="eastAsia" w:ascii="华文楷体" w:hAnsi="华文楷体" w:eastAsia="华文楷体" w:cs="华文楷体"/>
          <w:szCs w:val="30"/>
          <w:lang w:val="en-US" w:eastAsia="zh-CN"/>
        </w:rPr>
        <w:fldChar w:fldCharType="separate"/>
      </w:r>
      <w:r>
        <w:rPr>
          <w:rFonts w:hint="eastAsia"/>
          <w:lang w:val="en-US" w:eastAsia="zh-CN"/>
        </w:rPr>
        <w:t>图13：九江市卫生学校与武宁人民医院进行实习交流</w:t>
      </w:r>
      <w:r>
        <w:tab/>
      </w:r>
      <w:r>
        <w:fldChar w:fldCharType="begin"/>
      </w:r>
      <w:r>
        <w:instrText xml:space="preserve"> PAGEREF _Toc31374 \h </w:instrText>
      </w:r>
      <w:r>
        <w:fldChar w:fldCharType="separate"/>
      </w:r>
      <w:r>
        <w:t>29</w:t>
      </w:r>
      <w:r>
        <w:fldChar w:fldCharType="end"/>
      </w:r>
      <w:r>
        <w:rPr>
          <w:rFonts w:hint="eastAsia" w:ascii="华文楷体" w:hAnsi="华文楷体" w:eastAsia="华文楷体" w:cs="华文楷体"/>
          <w:szCs w:val="30"/>
          <w:lang w:val="en-US" w:eastAsia="zh-CN"/>
        </w:rPr>
        <w:fldChar w:fldCharType="end"/>
      </w:r>
    </w:p>
    <w:p w14:paraId="1D237E7C">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_Toc25216 </w:instrText>
      </w:r>
      <w:r>
        <w:rPr>
          <w:rFonts w:hint="eastAsia" w:ascii="华文楷体" w:hAnsi="华文楷体" w:eastAsia="华文楷体" w:cs="华文楷体"/>
          <w:szCs w:val="30"/>
          <w:lang w:val="en-US" w:eastAsia="zh-CN"/>
        </w:rPr>
        <w:fldChar w:fldCharType="separate"/>
      </w:r>
      <w:r>
        <w:rPr>
          <w:rFonts w:hint="eastAsia"/>
          <w:lang w:val="en-US" w:eastAsia="zh-CN"/>
        </w:rPr>
        <w:t>图14：都昌中专学生进行专业技能操作</w:t>
      </w:r>
      <w:r>
        <w:tab/>
      </w:r>
      <w:r>
        <w:fldChar w:fldCharType="begin"/>
      </w:r>
      <w:r>
        <w:instrText xml:space="preserve"> PAGEREF _Toc25216 \h </w:instrText>
      </w:r>
      <w:r>
        <w:fldChar w:fldCharType="separate"/>
      </w:r>
      <w:r>
        <w:t>31</w:t>
      </w:r>
      <w:r>
        <w:fldChar w:fldCharType="end"/>
      </w:r>
      <w:r>
        <w:rPr>
          <w:rFonts w:hint="eastAsia" w:ascii="华文楷体" w:hAnsi="华文楷体" w:eastAsia="华文楷体" w:cs="华文楷体"/>
          <w:szCs w:val="30"/>
          <w:lang w:val="en-US" w:eastAsia="zh-CN"/>
        </w:rPr>
        <w:fldChar w:fldCharType="end"/>
      </w:r>
    </w:p>
    <w:p w14:paraId="2A7A92C5">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_Toc32461 </w:instrText>
      </w:r>
      <w:r>
        <w:rPr>
          <w:rFonts w:hint="eastAsia" w:ascii="华文楷体" w:hAnsi="华文楷体" w:eastAsia="华文楷体" w:cs="华文楷体"/>
          <w:szCs w:val="30"/>
          <w:lang w:val="en-US" w:eastAsia="zh-CN"/>
        </w:rPr>
        <w:fldChar w:fldCharType="separate"/>
      </w:r>
      <w:r>
        <w:rPr>
          <w:rFonts w:hint="eastAsia"/>
          <w:lang w:val="en-US" w:eastAsia="zh-CN"/>
        </w:rPr>
        <w:t>图15：瑞昌中专幼保专业学生在幼儿园实习</w:t>
      </w:r>
      <w:r>
        <w:tab/>
      </w:r>
      <w:r>
        <w:fldChar w:fldCharType="begin"/>
      </w:r>
      <w:r>
        <w:instrText xml:space="preserve"> PAGEREF _Toc32461 \h </w:instrText>
      </w:r>
      <w:r>
        <w:fldChar w:fldCharType="separate"/>
      </w:r>
      <w:r>
        <w:t>31</w:t>
      </w:r>
      <w:r>
        <w:fldChar w:fldCharType="end"/>
      </w:r>
      <w:r>
        <w:rPr>
          <w:rFonts w:hint="eastAsia" w:ascii="华文楷体" w:hAnsi="华文楷体" w:eastAsia="华文楷体" w:cs="华文楷体"/>
          <w:szCs w:val="30"/>
          <w:lang w:val="en-US" w:eastAsia="zh-CN"/>
        </w:rPr>
        <w:fldChar w:fldCharType="end"/>
      </w:r>
    </w:p>
    <w:p w14:paraId="7C9588CB">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_Toc8363 </w:instrText>
      </w:r>
      <w:r>
        <w:rPr>
          <w:rFonts w:hint="eastAsia" w:ascii="华文楷体" w:hAnsi="华文楷体" w:eastAsia="华文楷体" w:cs="华文楷体"/>
          <w:szCs w:val="30"/>
          <w:lang w:val="en-US" w:eastAsia="zh-CN"/>
        </w:rPr>
        <w:fldChar w:fldCharType="separate"/>
      </w:r>
      <w:r>
        <w:rPr>
          <w:rFonts w:hint="eastAsia"/>
          <w:lang w:val="en-US" w:eastAsia="zh-CN"/>
        </w:rPr>
        <w:t>图16：江西九江科技中等专业学校组织师生到部队送演</w:t>
      </w:r>
      <w:r>
        <w:tab/>
      </w:r>
      <w:r>
        <w:fldChar w:fldCharType="begin"/>
      </w:r>
      <w:r>
        <w:instrText xml:space="preserve"> PAGEREF _Toc8363 \h </w:instrText>
      </w:r>
      <w:r>
        <w:fldChar w:fldCharType="separate"/>
      </w:r>
      <w:r>
        <w:t>33</w:t>
      </w:r>
      <w:r>
        <w:fldChar w:fldCharType="end"/>
      </w:r>
      <w:r>
        <w:rPr>
          <w:rFonts w:hint="eastAsia" w:ascii="华文楷体" w:hAnsi="华文楷体" w:eastAsia="华文楷体" w:cs="华文楷体"/>
          <w:szCs w:val="30"/>
          <w:lang w:val="en-US" w:eastAsia="zh-CN"/>
        </w:rPr>
        <w:fldChar w:fldCharType="end"/>
      </w:r>
    </w:p>
    <w:p w14:paraId="1280DAF8">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楷体_GB2312" w:hAnsi="楷体_GB2312" w:eastAsia="楷体_GB2312" w:cs="楷体_GB2312"/>
          <w:sz w:val="30"/>
          <w:szCs w:val="30"/>
          <w:lang w:val="en-US" w:eastAsia="zh-CN"/>
        </w:rPr>
      </w:pPr>
      <w:r>
        <w:rPr>
          <w:rFonts w:hint="eastAsia" w:ascii="华文楷体" w:hAnsi="华文楷体" w:eastAsia="华文楷体" w:cs="华文楷体"/>
          <w:szCs w:val="30"/>
          <w:lang w:val="en-US" w:eastAsia="zh-CN"/>
        </w:rPr>
        <w:fldChar w:fldCharType="end"/>
      </w:r>
    </w:p>
    <w:p w14:paraId="12B5AF38">
      <w:pPr>
        <w:rPr>
          <w:rFonts w:hint="eastAsia" w:ascii="楷体_GB2312" w:hAnsi="楷体_GB2312" w:eastAsia="楷体_GB2312" w:cs="楷体_GB2312"/>
          <w:sz w:val="30"/>
          <w:szCs w:val="30"/>
          <w:lang w:val="en-US" w:eastAsia="zh-CN"/>
        </w:rPr>
      </w:pPr>
      <w:r>
        <w:rPr>
          <w:rFonts w:hint="eastAsia" w:ascii="楷体_GB2312" w:hAnsi="楷体_GB2312" w:eastAsia="楷体_GB2312" w:cs="楷体_GB2312"/>
          <w:sz w:val="30"/>
          <w:szCs w:val="30"/>
          <w:lang w:val="en-US" w:eastAsia="zh-CN"/>
        </w:rPr>
        <w:br w:type="page"/>
      </w:r>
    </w:p>
    <w:p w14:paraId="3A937D76">
      <w:pPr>
        <w:pStyle w:val="10"/>
        <w:tabs>
          <w:tab w:val="right" w:leader="dot" w:pos="8306"/>
        </w:tabs>
        <w:jc w:val="center"/>
        <w:rPr>
          <w:rFonts w:hint="eastAsia" w:ascii="方正小标宋简体" w:hAnsi="方正小标宋简体" w:eastAsia="方正小标宋简体" w:cs="方正小标宋简体"/>
          <w:sz w:val="52"/>
          <w:szCs w:val="52"/>
          <w:lang w:val="en-US" w:eastAsia="zh-CN"/>
        </w:rPr>
      </w:pPr>
      <w:r>
        <w:rPr>
          <w:rFonts w:hint="eastAsia" w:ascii="方正小标宋简体" w:hAnsi="方正小标宋简体" w:eastAsia="方正小标宋简体" w:cs="方正小标宋简体"/>
          <w:sz w:val="52"/>
          <w:szCs w:val="52"/>
          <w:lang w:val="en-US" w:eastAsia="zh-CN"/>
        </w:rPr>
        <w:t>附 表 目 录</w:t>
      </w:r>
    </w:p>
    <w:p w14:paraId="424ED9B7">
      <w:pPr>
        <w:rPr>
          <w:rFonts w:hint="eastAsia"/>
          <w:lang w:val="en-US" w:eastAsia="zh-CN"/>
        </w:rPr>
      </w:pPr>
    </w:p>
    <w:p w14:paraId="3FD2B7D0">
      <w:pPr>
        <w:pStyle w:val="10"/>
        <w:tabs>
          <w:tab w:val="right" w:leader="dot" w:pos="8306"/>
        </w:tabs>
      </w:pPr>
      <w:r>
        <w:rPr>
          <w:rFonts w:hint="eastAsia" w:ascii="华文楷体" w:hAnsi="华文楷体" w:eastAsia="华文楷体" w:cs="华文楷体"/>
          <w:sz w:val="30"/>
          <w:szCs w:val="30"/>
          <w:lang w:val="en-US" w:eastAsia="zh-CN"/>
        </w:rPr>
        <w:fldChar w:fldCharType="begin"/>
      </w:r>
      <w:r>
        <w:rPr>
          <w:rFonts w:hint="eastAsia" w:ascii="华文楷体" w:hAnsi="华文楷体" w:eastAsia="华文楷体" w:cs="华文楷体"/>
          <w:sz w:val="30"/>
          <w:szCs w:val="30"/>
          <w:lang w:val="en-US" w:eastAsia="zh-CN"/>
        </w:rPr>
        <w:instrText xml:space="preserve">TOC \t "年报附表,1,标题 1,5,标题 2,5,标题 3,5" \h</w:instrText>
      </w:r>
      <w:r>
        <w:rPr>
          <w:rFonts w:hint="eastAsia" w:ascii="华文楷体" w:hAnsi="华文楷体" w:eastAsia="华文楷体" w:cs="华文楷体"/>
          <w:sz w:val="30"/>
          <w:szCs w:val="30"/>
          <w:lang w:val="en-US" w:eastAsia="zh-CN"/>
        </w:rPr>
        <w:fldChar w:fldCharType="separate"/>
      </w: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_Toc22058 </w:instrText>
      </w:r>
      <w:r>
        <w:rPr>
          <w:rFonts w:hint="eastAsia" w:ascii="华文楷体" w:hAnsi="华文楷体" w:eastAsia="华文楷体" w:cs="华文楷体"/>
          <w:szCs w:val="30"/>
          <w:lang w:val="en-US" w:eastAsia="zh-CN"/>
        </w:rPr>
        <w:fldChar w:fldCharType="separate"/>
      </w:r>
      <w:r>
        <w:rPr>
          <w:rFonts w:hint="eastAsia"/>
          <w:lang w:val="en-US" w:eastAsia="zh-CN"/>
        </w:rPr>
        <w:t>附表1：人才培养质量计分卡</w:t>
      </w:r>
      <w:r>
        <w:tab/>
      </w:r>
      <w:r>
        <w:fldChar w:fldCharType="begin"/>
      </w:r>
      <w:r>
        <w:instrText xml:space="preserve"> PAGEREF _Toc22058 \h </w:instrText>
      </w:r>
      <w:r>
        <w:fldChar w:fldCharType="separate"/>
      </w:r>
      <w:r>
        <w:t>37</w:t>
      </w:r>
      <w:r>
        <w:fldChar w:fldCharType="end"/>
      </w:r>
      <w:r>
        <w:rPr>
          <w:rFonts w:hint="eastAsia" w:ascii="华文楷体" w:hAnsi="华文楷体" w:eastAsia="华文楷体" w:cs="华文楷体"/>
          <w:szCs w:val="30"/>
          <w:lang w:val="en-US" w:eastAsia="zh-CN"/>
        </w:rPr>
        <w:fldChar w:fldCharType="end"/>
      </w:r>
    </w:p>
    <w:p w14:paraId="7F397CD0">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_Toc16557 </w:instrText>
      </w:r>
      <w:r>
        <w:rPr>
          <w:rFonts w:hint="eastAsia" w:ascii="华文楷体" w:hAnsi="华文楷体" w:eastAsia="华文楷体" w:cs="华文楷体"/>
          <w:szCs w:val="30"/>
          <w:lang w:val="en-US" w:eastAsia="zh-CN"/>
        </w:rPr>
        <w:fldChar w:fldCharType="separate"/>
      </w:r>
      <w:r>
        <w:rPr>
          <w:rFonts w:hint="default"/>
          <w:lang w:val="en-US" w:eastAsia="zh-CN"/>
        </w:rPr>
        <w:t>附表</w:t>
      </w:r>
      <w:r>
        <w:rPr>
          <w:rFonts w:hint="eastAsia"/>
          <w:lang w:val="en-US" w:eastAsia="zh-CN"/>
        </w:rPr>
        <w:t>2</w:t>
      </w:r>
      <w:r>
        <w:rPr>
          <w:rFonts w:hint="default"/>
          <w:lang w:val="en-US" w:eastAsia="zh-CN"/>
        </w:rPr>
        <w:t>：满意度调查表</w:t>
      </w:r>
      <w:r>
        <w:tab/>
      </w:r>
      <w:r>
        <w:fldChar w:fldCharType="begin"/>
      </w:r>
      <w:r>
        <w:instrText xml:space="preserve"> PAGEREF _Toc16557 \h </w:instrText>
      </w:r>
      <w:r>
        <w:fldChar w:fldCharType="separate"/>
      </w:r>
      <w:r>
        <w:t>38</w:t>
      </w:r>
      <w:r>
        <w:fldChar w:fldCharType="end"/>
      </w:r>
      <w:r>
        <w:rPr>
          <w:rFonts w:hint="eastAsia" w:ascii="华文楷体" w:hAnsi="华文楷体" w:eastAsia="华文楷体" w:cs="华文楷体"/>
          <w:szCs w:val="30"/>
          <w:lang w:val="en-US" w:eastAsia="zh-CN"/>
        </w:rPr>
        <w:fldChar w:fldCharType="end"/>
      </w:r>
    </w:p>
    <w:p w14:paraId="01EEEB5A">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_Toc11163 </w:instrText>
      </w:r>
      <w:r>
        <w:rPr>
          <w:rFonts w:hint="eastAsia" w:ascii="华文楷体" w:hAnsi="华文楷体" w:eastAsia="华文楷体" w:cs="华文楷体"/>
          <w:szCs w:val="30"/>
          <w:lang w:val="en-US" w:eastAsia="zh-CN"/>
        </w:rPr>
        <w:fldChar w:fldCharType="separate"/>
      </w:r>
      <w:r>
        <w:rPr>
          <w:rFonts w:hint="default"/>
          <w:lang w:val="en-US" w:eastAsia="zh-CN"/>
        </w:rPr>
        <w:t>附表</w:t>
      </w:r>
      <w:r>
        <w:rPr>
          <w:rFonts w:hint="eastAsia"/>
          <w:lang w:val="en-US" w:eastAsia="zh-CN"/>
        </w:rPr>
        <w:t>3</w:t>
      </w:r>
      <w:r>
        <w:rPr>
          <w:rFonts w:hint="default"/>
          <w:lang w:val="en-US" w:eastAsia="zh-CN"/>
        </w:rPr>
        <w:t>：教学资源表</w:t>
      </w:r>
      <w:r>
        <w:tab/>
      </w:r>
      <w:r>
        <w:fldChar w:fldCharType="begin"/>
      </w:r>
      <w:r>
        <w:instrText xml:space="preserve"> PAGEREF _Toc11163 \h </w:instrText>
      </w:r>
      <w:r>
        <w:fldChar w:fldCharType="separate"/>
      </w:r>
      <w:r>
        <w:t>39</w:t>
      </w:r>
      <w:r>
        <w:fldChar w:fldCharType="end"/>
      </w:r>
      <w:r>
        <w:rPr>
          <w:rFonts w:hint="eastAsia" w:ascii="华文楷体" w:hAnsi="华文楷体" w:eastAsia="华文楷体" w:cs="华文楷体"/>
          <w:szCs w:val="30"/>
          <w:lang w:val="en-US" w:eastAsia="zh-CN"/>
        </w:rPr>
        <w:fldChar w:fldCharType="end"/>
      </w:r>
    </w:p>
    <w:p w14:paraId="5165D624">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_Toc29982 </w:instrText>
      </w:r>
      <w:r>
        <w:rPr>
          <w:rFonts w:hint="eastAsia" w:ascii="华文楷体" w:hAnsi="华文楷体" w:eastAsia="华文楷体" w:cs="华文楷体"/>
          <w:szCs w:val="30"/>
          <w:lang w:val="en-US" w:eastAsia="zh-CN"/>
        </w:rPr>
        <w:fldChar w:fldCharType="separate"/>
      </w:r>
      <w:r>
        <w:rPr>
          <w:rFonts w:hint="default"/>
          <w:lang w:val="en-US" w:eastAsia="zh-CN"/>
        </w:rPr>
        <w:t>附表</w:t>
      </w:r>
      <w:r>
        <w:rPr>
          <w:rFonts w:hint="eastAsia"/>
          <w:lang w:val="en-US" w:eastAsia="zh-CN"/>
        </w:rPr>
        <w:t>4</w:t>
      </w:r>
      <w:r>
        <w:rPr>
          <w:rFonts w:hint="default"/>
          <w:lang w:val="en-US" w:eastAsia="zh-CN"/>
        </w:rPr>
        <w:t>：国际影响表</w:t>
      </w:r>
      <w:r>
        <w:tab/>
      </w:r>
      <w:r>
        <w:fldChar w:fldCharType="begin"/>
      </w:r>
      <w:r>
        <w:instrText xml:space="preserve"> PAGEREF _Toc29982 \h </w:instrText>
      </w:r>
      <w:r>
        <w:fldChar w:fldCharType="separate"/>
      </w:r>
      <w:r>
        <w:t>40</w:t>
      </w:r>
      <w:r>
        <w:fldChar w:fldCharType="end"/>
      </w:r>
      <w:r>
        <w:rPr>
          <w:rFonts w:hint="eastAsia" w:ascii="华文楷体" w:hAnsi="华文楷体" w:eastAsia="华文楷体" w:cs="华文楷体"/>
          <w:szCs w:val="30"/>
          <w:lang w:val="en-US" w:eastAsia="zh-CN"/>
        </w:rPr>
        <w:fldChar w:fldCharType="end"/>
      </w:r>
    </w:p>
    <w:p w14:paraId="2BF9DC92">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_Toc7330 </w:instrText>
      </w:r>
      <w:r>
        <w:rPr>
          <w:rFonts w:hint="eastAsia" w:ascii="华文楷体" w:hAnsi="华文楷体" w:eastAsia="华文楷体" w:cs="华文楷体"/>
          <w:szCs w:val="30"/>
          <w:lang w:val="en-US" w:eastAsia="zh-CN"/>
        </w:rPr>
        <w:fldChar w:fldCharType="separate"/>
      </w:r>
      <w:r>
        <w:rPr>
          <w:rFonts w:hint="default"/>
          <w:lang w:val="en-US" w:eastAsia="zh-CN"/>
        </w:rPr>
        <w:t>附表</w:t>
      </w:r>
      <w:r>
        <w:rPr>
          <w:rFonts w:hint="eastAsia"/>
          <w:lang w:val="en-US" w:eastAsia="zh-CN"/>
        </w:rPr>
        <w:t>5</w:t>
      </w:r>
      <w:r>
        <w:rPr>
          <w:rFonts w:hint="default"/>
          <w:lang w:val="en-US" w:eastAsia="zh-CN"/>
        </w:rPr>
        <w:t>：服务贡献表</w:t>
      </w:r>
      <w:r>
        <w:tab/>
      </w:r>
      <w:r>
        <w:fldChar w:fldCharType="begin"/>
      </w:r>
      <w:r>
        <w:instrText xml:space="preserve"> PAGEREF _Toc7330 \h </w:instrText>
      </w:r>
      <w:r>
        <w:fldChar w:fldCharType="separate"/>
      </w:r>
      <w:r>
        <w:t>41</w:t>
      </w:r>
      <w:r>
        <w:fldChar w:fldCharType="end"/>
      </w:r>
      <w:r>
        <w:rPr>
          <w:rFonts w:hint="eastAsia" w:ascii="华文楷体" w:hAnsi="华文楷体" w:eastAsia="华文楷体" w:cs="华文楷体"/>
          <w:szCs w:val="30"/>
          <w:lang w:val="en-US" w:eastAsia="zh-CN"/>
        </w:rPr>
        <w:fldChar w:fldCharType="end"/>
      </w:r>
    </w:p>
    <w:p w14:paraId="7A6A64FE">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_Toc28961 </w:instrText>
      </w:r>
      <w:r>
        <w:rPr>
          <w:rFonts w:hint="eastAsia" w:ascii="华文楷体" w:hAnsi="华文楷体" w:eastAsia="华文楷体" w:cs="华文楷体"/>
          <w:szCs w:val="30"/>
          <w:lang w:val="en-US" w:eastAsia="zh-CN"/>
        </w:rPr>
        <w:fldChar w:fldCharType="separate"/>
      </w:r>
      <w:r>
        <w:rPr>
          <w:rFonts w:hint="default"/>
          <w:lang w:val="en-US" w:eastAsia="zh-CN"/>
        </w:rPr>
        <w:t>附表</w:t>
      </w:r>
      <w:r>
        <w:rPr>
          <w:rFonts w:hint="eastAsia"/>
          <w:lang w:val="en-US" w:eastAsia="zh-CN"/>
        </w:rPr>
        <w:t>6</w:t>
      </w:r>
      <w:r>
        <w:rPr>
          <w:rFonts w:hint="default"/>
          <w:lang w:val="en-US" w:eastAsia="zh-CN"/>
        </w:rPr>
        <w:t>：落实政策表</w:t>
      </w:r>
      <w:r>
        <w:tab/>
      </w:r>
      <w:r>
        <w:fldChar w:fldCharType="begin"/>
      </w:r>
      <w:r>
        <w:instrText xml:space="preserve"> PAGEREF _Toc28961 \h </w:instrText>
      </w:r>
      <w:r>
        <w:fldChar w:fldCharType="separate"/>
      </w:r>
      <w:r>
        <w:t>42</w:t>
      </w:r>
      <w:r>
        <w:fldChar w:fldCharType="end"/>
      </w:r>
      <w:r>
        <w:rPr>
          <w:rFonts w:hint="eastAsia" w:ascii="华文楷体" w:hAnsi="华文楷体" w:eastAsia="华文楷体" w:cs="华文楷体"/>
          <w:szCs w:val="30"/>
          <w:lang w:val="en-US" w:eastAsia="zh-CN"/>
        </w:rPr>
        <w:fldChar w:fldCharType="end"/>
      </w:r>
    </w:p>
    <w:p w14:paraId="1035FED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楷体_GB2312" w:hAnsi="楷体_GB2312" w:eastAsia="楷体_GB2312" w:cs="楷体_GB2312"/>
          <w:sz w:val="30"/>
          <w:szCs w:val="30"/>
          <w:lang w:val="en-US" w:eastAsia="zh-CN"/>
        </w:rPr>
      </w:pPr>
      <w:r>
        <w:rPr>
          <w:rFonts w:hint="eastAsia" w:ascii="华文楷体" w:hAnsi="华文楷体" w:eastAsia="华文楷体" w:cs="华文楷体"/>
          <w:szCs w:val="30"/>
          <w:lang w:val="en-US" w:eastAsia="zh-CN"/>
        </w:rPr>
        <w:fldChar w:fldCharType="end"/>
      </w:r>
    </w:p>
    <w:p w14:paraId="2FD032A7">
      <w:pPr>
        <w:pStyle w:val="16"/>
        <w:bidi w:val="0"/>
        <w:ind w:left="0" w:leftChars="0" w:firstLine="0" w:firstLineChars="0"/>
        <w:jc w:val="center"/>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lang w:val="en-US" w:eastAsia="zh-CN"/>
        </w:rPr>
        <w:br w:type="page"/>
      </w:r>
      <w:bookmarkStart w:id="17" w:name="_Toc24804"/>
    </w:p>
    <w:p w14:paraId="24C1E9D3">
      <w:pPr>
        <w:pStyle w:val="16"/>
        <w:bidi w:val="0"/>
        <w:ind w:left="0" w:leftChars="0" w:firstLine="0" w:firstLineChars="0"/>
        <w:jc w:val="center"/>
        <w:rPr>
          <w:rFonts w:hint="eastAsia"/>
          <w:lang w:val="en-US" w:eastAsia="zh-CN"/>
        </w:rPr>
      </w:pPr>
      <w:r>
        <w:rPr>
          <w:rFonts w:hint="eastAsia" w:ascii="方正小标宋简体" w:hAnsi="方正小标宋简体" w:eastAsia="方正小标宋简体" w:cs="方正小标宋简体"/>
          <w:lang w:val="en-US" w:eastAsia="zh-CN"/>
        </w:rPr>
        <w:t>九江市2023年中等职业教育质量年度报告</w:t>
      </w:r>
    </w:p>
    <w:p w14:paraId="29EDC4B9">
      <w:pPr>
        <w:pStyle w:val="16"/>
        <w:bidi w:val="0"/>
        <w:rPr>
          <w:rFonts w:hint="eastAsia"/>
          <w:lang w:val="en-US" w:eastAsia="zh-CN"/>
        </w:rPr>
      </w:pPr>
      <w:r>
        <w:rPr>
          <w:rFonts w:hint="eastAsia"/>
          <w:lang w:val="en-US" w:eastAsia="zh-CN"/>
        </w:rPr>
        <w:t>2023年，在市委、市政府的正确领导下，在省教育厅的指导关心下，九江市教育系统深入学习贯彻习近平总书记关于职业教育的一系列重要指示精神，特别是习近平总书记在江西考察时提出的“走在前、勇争先、善作为”的目标要求，认真落实中办、国办在《关于深化现代职业教育体系建设改革的意见》中提出的“一体、两翼、五重点”新阶段职业教育改革的系列重大举措，以落实部省共建、推进职业教育综合改革提质创优为抓手，不断健全保障机制、完善办学体系、改革育人模式，全面提升了职业教育发展能力和服务水平，为我市经济社会发展提供了有力的技术技能人才支撑。</w:t>
      </w:r>
    </w:p>
    <w:p w14:paraId="2DFE0537">
      <w:pPr>
        <w:pStyle w:val="15"/>
        <w:numPr>
          <w:ilvl w:val="0"/>
          <w:numId w:val="0"/>
        </w:numPr>
        <w:bidi w:val="0"/>
        <w:ind w:left="0" w:leftChars="0" w:firstLine="640" w:firstLineChars="200"/>
        <w:rPr>
          <w:rFonts w:hint="default"/>
          <w:lang w:val="en-US" w:eastAsia="zh-CN"/>
        </w:rPr>
      </w:pPr>
      <w:bookmarkStart w:id="18" w:name="_Toc28816"/>
      <w:bookmarkStart w:id="19" w:name="_Toc28802"/>
      <w:r>
        <w:rPr>
          <w:rFonts w:hint="eastAsia"/>
          <w:lang w:val="en-US" w:eastAsia="zh-CN"/>
        </w:rPr>
        <w:t>1 基本情况</w:t>
      </w:r>
      <w:bookmarkEnd w:id="18"/>
      <w:bookmarkEnd w:id="19"/>
    </w:p>
    <w:p w14:paraId="24E7EBB2">
      <w:pPr>
        <w:pStyle w:val="36"/>
        <w:bidi w:val="0"/>
        <w:rPr>
          <w:rFonts w:hint="eastAsia"/>
          <w:lang w:val="en-US" w:eastAsia="zh-CN"/>
        </w:rPr>
      </w:pPr>
      <w:bookmarkStart w:id="20" w:name="_Toc1831"/>
      <w:bookmarkStart w:id="21" w:name="_Toc9232"/>
      <w:r>
        <w:rPr>
          <w:rFonts w:hint="eastAsia"/>
          <w:lang w:val="en-US" w:eastAsia="zh-CN"/>
        </w:rPr>
        <w:t>1.1 规模和结构</w:t>
      </w:r>
      <w:bookmarkEnd w:id="20"/>
      <w:bookmarkEnd w:id="21"/>
    </w:p>
    <w:p w14:paraId="5932FD32">
      <w:pPr>
        <w:pStyle w:val="16"/>
        <w:rPr>
          <w:rFonts w:hint="default"/>
          <w:lang w:val="en-US" w:eastAsia="zh-CN"/>
        </w:rPr>
      </w:pPr>
      <w:r>
        <w:rPr>
          <w:rFonts w:hint="eastAsia"/>
          <w:lang w:val="en-US" w:eastAsia="zh-CN"/>
        </w:rPr>
        <w:t>截至</w:t>
      </w:r>
      <w:r>
        <w:rPr>
          <w:rFonts w:hint="default"/>
          <w:lang w:val="en-US" w:eastAsia="zh-CN"/>
        </w:rPr>
        <w:t>202</w:t>
      </w:r>
      <w:r>
        <w:rPr>
          <w:rFonts w:hint="eastAsia"/>
          <w:lang w:val="en-US" w:eastAsia="zh-CN"/>
        </w:rPr>
        <w:t>3</w:t>
      </w:r>
      <w:r>
        <w:rPr>
          <w:rFonts w:hint="default"/>
          <w:lang w:val="en-US" w:eastAsia="zh-CN"/>
        </w:rPr>
        <w:t>年</w:t>
      </w:r>
      <w:r>
        <w:rPr>
          <w:rFonts w:hint="eastAsia"/>
          <w:lang w:val="en-US" w:eastAsia="zh-CN"/>
        </w:rPr>
        <w:t>12月份</w:t>
      </w:r>
      <w:r>
        <w:rPr>
          <w:rFonts w:hint="default"/>
          <w:lang w:val="en-US" w:eastAsia="zh-CN"/>
        </w:rPr>
        <w:t>，我市教育系统共有招生资格中等职业教育学校</w:t>
      </w:r>
      <w:r>
        <w:rPr>
          <w:rFonts w:hint="eastAsia"/>
          <w:lang w:val="en-US" w:eastAsia="zh-CN"/>
        </w:rPr>
        <w:t>19</w:t>
      </w:r>
      <w:r>
        <w:rPr>
          <w:rFonts w:hint="default"/>
          <w:lang w:val="en-US" w:eastAsia="zh-CN"/>
        </w:rPr>
        <w:t>所（含驻市省管学校1所）。其中公办学校 1</w:t>
      </w:r>
      <w:r>
        <w:rPr>
          <w:rFonts w:hint="eastAsia"/>
          <w:lang w:val="en-US" w:eastAsia="zh-CN"/>
        </w:rPr>
        <w:t>3</w:t>
      </w:r>
      <w:r>
        <w:rPr>
          <w:rFonts w:hint="default"/>
          <w:lang w:val="en-US" w:eastAsia="zh-CN"/>
        </w:rPr>
        <w:t xml:space="preserve"> 所，民办学校 </w:t>
      </w:r>
      <w:r>
        <w:rPr>
          <w:rFonts w:hint="eastAsia"/>
          <w:lang w:val="en-US" w:eastAsia="zh-CN"/>
        </w:rPr>
        <w:t>6</w:t>
      </w:r>
      <w:r>
        <w:rPr>
          <w:rFonts w:hint="default"/>
          <w:lang w:val="en-US" w:eastAsia="zh-CN"/>
        </w:rPr>
        <w:t xml:space="preserve"> 所；A档学校4所，B档学校2所，C档学校10所，C档以下</w:t>
      </w:r>
      <w:r>
        <w:rPr>
          <w:rFonts w:hint="eastAsia"/>
          <w:lang w:val="en-US" w:eastAsia="zh-CN"/>
        </w:rPr>
        <w:t>2</w:t>
      </w:r>
      <w:r>
        <w:rPr>
          <w:rFonts w:hint="default"/>
          <w:lang w:val="en-US" w:eastAsia="zh-CN"/>
        </w:rPr>
        <w:t>所</w:t>
      </w:r>
      <w:r>
        <w:rPr>
          <w:rFonts w:hint="eastAsia"/>
          <w:lang w:val="en-US" w:eastAsia="zh-CN"/>
        </w:rPr>
        <w:t>，新设立学校1所</w:t>
      </w:r>
      <w:r>
        <w:rPr>
          <w:rFonts w:hint="default"/>
          <w:lang w:val="en-US" w:eastAsia="zh-CN"/>
        </w:rPr>
        <w:t>；国家改革发展示范学校3所，省高水平建设立项学校1所，普通中等专业学校9所。</w:t>
      </w:r>
      <w:r>
        <w:rPr>
          <w:rFonts w:hint="eastAsia"/>
          <w:lang w:val="en-US" w:eastAsia="zh-CN"/>
        </w:rPr>
        <w:t>九江市</w:t>
      </w:r>
      <w:r>
        <w:rPr>
          <w:rFonts w:hint="default"/>
          <w:lang w:val="en-US" w:eastAsia="zh-CN"/>
        </w:rPr>
        <w:t>另有技工学校</w:t>
      </w:r>
      <w:r>
        <w:rPr>
          <w:rFonts w:hint="eastAsia"/>
          <w:lang w:val="en-US" w:eastAsia="zh-CN"/>
        </w:rPr>
        <w:t>16</w:t>
      </w:r>
      <w:r>
        <w:rPr>
          <w:rFonts w:hint="default"/>
          <w:lang w:val="en-US" w:eastAsia="zh-CN"/>
        </w:rPr>
        <w:t>所</w:t>
      </w:r>
      <w:r>
        <w:rPr>
          <w:rFonts w:hint="eastAsia"/>
          <w:lang w:val="en-US" w:eastAsia="zh-CN"/>
        </w:rPr>
        <w:t>、</w:t>
      </w:r>
      <w:r>
        <w:rPr>
          <w:rFonts w:hint="default"/>
          <w:lang w:val="en-US" w:eastAsia="zh-CN"/>
        </w:rPr>
        <w:t>举办面向初中毕业生招生</w:t>
      </w:r>
      <w:r>
        <w:rPr>
          <w:rFonts w:hint="eastAsia"/>
          <w:lang w:val="en-US" w:eastAsia="zh-CN"/>
        </w:rPr>
        <w:t>的</w:t>
      </w:r>
      <w:r>
        <w:rPr>
          <w:rFonts w:hint="default"/>
          <w:lang w:val="en-US" w:eastAsia="zh-CN"/>
        </w:rPr>
        <w:t>长学制高职院校5所。</w:t>
      </w:r>
    </w:p>
    <w:p w14:paraId="7A67119B">
      <w:pPr>
        <w:pStyle w:val="16"/>
        <w:rPr>
          <w:rFonts w:hint="default"/>
          <w:lang w:val="en-US" w:eastAsia="zh-CN"/>
        </w:rPr>
      </w:pPr>
    </w:p>
    <w:p w14:paraId="656E53CA">
      <w:pPr>
        <w:pStyle w:val="38"/>
        <w:bidi w:val="0"/>
        <w:rPr>
          <w:rFonts w:hint="default"/>
          <w:lang w:val="en-US" w:eastAsia="zh-CN"/>
        </w:rPr>
      </w:pPr>
      <w:bookmarkStart w:id="22" w:name="_Toc15663"/>
      <w:r>
        <w:rPr>
          <w:rFonts w:hint="default"/>
          <w:lang w:val="en-US" w:eastAsia="zh-CN"/>
        </w:rPr>
        <w:t>表1：九江市202</w:t>
      </w:r>
      <w:r>
        <w:rPr>
          <w:rFonts w:hint="eastAsia"/>
          <w:lang w:val="en-US" w:eastAsia="zh-CN"/>
        </w:rPr>
        <w:t>3</w:t>
      </w:r>
      <w:r>
        <w:rPr>
          <w:rFonts w:hint="default"/>
          <w:lang w:val="en-US" w:eastAsia="zh-CN"/>
        </w:rPr>
        <w:t>年具有招生资质中等职业学校名单</w:t>
      </w:r>
      <w:bookmarkEnd w:id="22"/>
    </w:p>
    <w:tbl>
      <w:tblPr>
        <w:tblStyle w:val="13"/>
        <w:tblW w:w="84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86"/>
        <w:gridCol w:w="2961"/>
        <w:gridCol w:w="4751"/>
      </w:tblGrid>
      <w:tr w14:paraId="1C778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614" w:hRule="atLeast"/>
          <w:jc w:val="center"/>
        </w:trPr>
        <w:tc>
          <w:tcPr>
            <w:tcW w:w="786" w:type="dxa"/>
            <w:tcBorders>
              <w:top w:val="nil"/>
              <w:left w:val="nil"/>
              <w:bottom w:val="single" w:color="FFFFFF" w:sz="12" w:space="0"/>
              <w:right w:val="single" w:color="FFFFFF" w:sz="4" w:space="0"/>
            </w:tcBorders>
            <w:shd w:val="clear" w:color="4874CB" w:fill="4874CB"/>
            <w:vAlign w:val="center"/>
          </w:tcPr>
          <w:p w14:paraId="1248FCF3">
            <w:pPr>
              <w:keepNext w:val="0"/>
              <w:keepLines w:val="0"/>
              <w:widowControl/>
              <w:suppressLineNumbers w:val="0"/>
              <w:ind w:left="0" w:leftChars="0" w:firstLine="0" w:firstLineChars="0"/>
              <w:jc w:val="center"/>
              <w:textAlignment w:val="center"/>
              <w:rPr>
                <w:rFonts w:ascii="仿宋_GB2312" w:hAnsi="宋体" w:eastAsia="仿宋_GB2312" w:cs="仿宋_GB2312"/>
                <w:b/>
                <w:bCs/>
                <w:i w:val="0"/>
                <w:iCs w:val="0"/>
                <w:color w:val="FFFFFF"/>
                <w:sz w:val="21"/>
                <w:szCs w:val="21"/>
                <w:u w:val="none"/>
              </w:rPr>
            </w:pPr>
            <w:r>
              <w:rPr>
                <w:rFonts w:hint="eastAsia" w:ascii="仿宋_GB2312" w:hAnsi="宋体" w:eastAsia="仿宋_GB2312" w:cs="仿宋_GB2312"/>
                <w:b/>
                <w:bCs/>
                <w:i w:val="0"/>
                <w:iCs w:val="0"/>
                <w:color w:val="FFFFFF"/>
                <w:kern w:val="0"/>
                <w:sz w:val="21"/>
                <w:szCs w:val="21"/>
                <w:u w:val="none"/>
                <w:lang w:val="en-US" w:eastAsia="zh-CN" w:bidi="ar"/>
              </w:rPr>
              <w:t>序号</w:t>
            </w:r>
          </w:p>
        </w:tc>
        <w:tc>
          <w:tcPr>
            <w:tcW w:w="2961" w:type="dxa"/>
            <w:tcBorders>
              <w:top w:val="nil"/>
              <w:left w:val="single" w:color="FFFFFF" w:sz="4" w:space="0"/>
              <w:bottom w:val="single" w:color="FFFFFF" w:sz="12" w:space="0"/>
              <w:right w:val="single" w:color="FFFFFF" w:sz="4" w:space="0"/>
            </w:tcBorders>
            <w:shd w:val="clear" w:color="4874CB" w:fill="4874CB"/>
            <w:vAlign w:val="center"/>
          </w:tcPr>
          <w:p w14:paraId="339BE2B2">
            <w:pPr>
              <w:keepNext w:val="0"/>
              <w:keepLines w:val="0"/>
              <w:widowControl/>
              <w:suppressLineNumbers w:val="0"/>
              <w:jc w:val="center"/>
              <w:textAlignment w:val="center"/>
              <w:rPr>
                <w:rFonts w:hint="eastAsia" w:ascii="仿宋_GB2312" w:hAnsi="宋体" w:eastAsia="仿宋_GB2312" w:cs="仿宋_GB2312"/>
                <w:b/>
                <w:bCs/>
                <w:i w:val="0"/>
                <w:iCs w:val="0"/>
                <w:color w:val="FFFFFF"/>
                <w:sz w:val="21"/>
                <w:szCs w:val="21"/>
                <w:u w:val="none"/>
              </w:rPr>
            </w:pPr>
            <w:r>
              <w:rPr>
                <w:rFonts w:hint="eastAsia" w:ascii="仿宋_GB2312" w:hAnsi="宋体" w:eastAsia="仿宋_GB2312" w:cs="仿宋_GB2312"/>
                <w:b/>
                <w:bCs/>
                <w:i w:val="0"/>
                <w:iCs w:val="0"/>
                <w:color w:val="FFFFFF"/>
                <w:kern w:val="0"/>
                <w:sz w:val="21"/>
                <w:szCs w:val="21"/>
                <w:u w:val="none"/>
                <w:lang w:val="en-US" w:eastAsia="zh-CN" w:bidi="ar"/>
              </w:rPr>
              <w:t>学校名称</w:t>
            </w:r>
          </w:p>
        </w:tc>
        <w:tc>
          <w:tcPr>
            <w:tcW w:w="4751" w:type="dxa"/>
            <w:tcBorders>
              <w:top w:val="nil"/>
              <w:left w:val="single" w:color="FFFFFF" w:sz="4" w:space="0"/>
              <w:bottom w:val="single" w:color="FFFFFF" w:sz="12" w:space="0"/>
              <w:right w:val="nil"/>
            </w:tcBorders>
            <w:shd w:val="clear" w:color="4874CB" w:fill="4874CB"/>
            <w:vAlign w:val="center"/>
          </w:tcPr>
          <w:p w14:paraId="5A4FDB8A">
            <w:pPr>
              <w:keepNext w:val="0"/>
              <w:keepLines w:val="0"/>
              <w:widowControl/>
              <w:suppressLineNumbers w:val="0"/>
              <w:jc w:val="center"/>
              <w:textAlignment w:val="center"/>
              <w:rPr>
                <w:rFonts w:hint="eastAsia" w:ascii="仿宋_GB2312" w:hAnsi="宋体" w:eastAsia="仿宋_GB2312" w:cs="仿宋_GB2312"/>
                <w:b/>
                <w:bCs/>
                <w:i w:val="0"/>
                <w:iCs w:val="0"/>
                <w:color w:val="FFFFFF"/>
                <w:sz w:val="21"/>
                <w:szCs w:val="21"/>
                <w:u w:val="none"/>
              </w:rPr>
            </w:pPr>
            <w:r>
              <w:rPr>
                <w:rFonts w:hint="eastAsia" w:ascii="仿宋_GB2312" w:hAnsi="宋体" w:eastAsia="仿宋_GB2312" w:cs="仿宋_GB2312"/>
                <w:b/>
                <w:bCs/>
                <w:i w:val="0"/>
                <w:iCs w:val="0"/>
                <w:color w:val="FFFFFF"/>
                <w:kern w:val="0"/>
                <w:sz w:val="21"/>
                <w:szCs w:val="21"/>
                <w:u w:val="none"/>
                <w:lang w:val="en-US" w:eastAsia="zh-CN" w:bidi="ar"/>
              </w:rPr>
              <w:t>学校类别</w:t>
            </w:r>
          </w:p>
        </w:tc>
      </w:tr>
      <w:tr w14:paraId="1252B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25" w:hRule="atLeast"/>
          <w:jc w:val="center"/>
        </w:trPr>
        <w:tc>
          <w:tcPr>
            <w:tcW w:w="786" w:type="dxa"/>
            <w:tcBorders>
              <w:top w:val="single" w:color="FFFFFF" w:sz="12" w:space="0"/>
              <w:left w:val="nil"/>
              <w:bottom w:val="single" w:color="FFFFFF" w:sz="4" w:space="0"/>
              <w:right w:val="single" w:color="FFFFFF" w:sz="4" w:space="0"/>
            </w:tcBorders>
            <w:shd w:val="clear" w:color="B5C6EA" w:fill="B5C6EA"/>
            <w:vAlign w:val="center"/>
          </w:tcPr>
          <w:p w14:paraId="1071F3C3">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w:t>
            </w:r>
          </w:p>
        </w:tc>
        <w:tc>
          <w:tcPr>
            <w:tcW w:w="2961" w:type="dxa"/>
            <w:tcBorders>
              <w:top w:val="single" w:color="FFFFFF" w:sz="12" w:space="0"/>
              <w:left w:val="single" w:color="FFFFFF" w:sz="4" w:space="0"/>
              <w:bottom w:val="single" w:color="FFFFFF" w:sz="4" w:space="0"/>
              <w:right w:val="single" w:color="FFFFFF" w:sz="4" w:space="0"/>
            </w:tcBorders>
            <w:shd w:val="clear" w:color="B5C6EA" w:fill="B5C6EA"/>
            <w:vAlign w:val="center"/>
          </w:tcPr>
          <w:p w14:paraId="23432772">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九江科技中等专业学校</w:t>
            </w:r>
          </w:p>
        </w:tc>
        <w:tc>
          <w:tcPr>
            <w:tcW w:w="4751" w:type="dxa"/>
            <w:tcBorders>
              <w:top w:val="single" w:color="FFFFFF" w:sz="12" w:space="0"/>
              <w:left w:val="single" w:color="FFFFFF" w:sz="4" w:space="0"/>
              <w:bottom w:val="single" w:color="FFFFFF" w:sz="4" w:space="0"/>
              <w:right w:val="nil"/>
            </w:tcBorders>
            <w:shd w:val="clear" w:color="B5C6EA" w:fill="B5C6EA"/>
            <w:vAlign w:val="center"/>
          </w:tcPr>
          <w:p w14:paraId="1149BDFF">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公办学校、国家改革发展示范校、A档学校</w:t>
            </w:r>
          </w:p>
        </w:tc>
      </w:tr>
      <w:tr w14:paraId="51FBA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10" w:hRule="atLeast"/>
          <w:jc w:val="center"/>
        </w:trPr>
        <w:tc>
          <w:tcPr>
            <w:tcW w:w="786" w:type="dxa"/>
            <w:tcBorders>
              <w:top w:val="single" w:color="FFFFFF" w:sz="4" w:space="0"/>
              <w:left w:val="nil"/>
              <w:bottom w:val="single" w:color="FFFFFF" w:sz="4" w:space="0"/>
              <w:right w:val="single" w:color="FFFFFF" w:sz="4" w:space="0"/>
            </w:tcBorders>
            <w:shd w:val="clear" w:color="D9E1F4" w:fill="D9E1F4"/>
            <w:vAlign w:val="center"/>
          </w:tcPr>
          <w:p w14:paraId="1ECC35C1">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w:t>
            </w:r>
          </w:p>
        </w:tc>
        <w:tc>
          <w:tcPr>
            <w:tcW w:w="2961"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1888A712">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修水中等专业学校</w:t>
            </w:r>
          </w:p>
        </w:tc>
        <w:tc>
          <w:tcPr>
            <w:tcW w:w="4751" w:type="dxa"/>
            <w:tcBorders>
              <w:top w:val="single" w:color="FFFFFF" w:sz="4" w:space="0"/>
              <w:left w:val="single" w:color="FFFFFF" w:sz="4" w:space="0"/>
              <w:bottom w:val="single" w:color="FFFFFF" w:sz="4" w:space="0"/>
              <w:right w:val="nil"/>
            </w:tcBorders>
            <w:shd w:val="clear" w:color="D9E1F4" w:fill="D9E1F4"/>
            <w:vAlign w:val="center"/>
          </w:tcPr>
          <w:p w14:paraId="6B581CAF">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公办学校、国家改革发展示范校、A档学校、江西省高水平建设立项单位</w:t>
            </w:r>
          </w:p>
        </w:tc>
      </w:tr>
      <w:tr w14:paraId="7CADC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10" w:hRule="atLeast"/>
          <w:jc w:val="center"/>
        </w:trPr>
        <w:tc>
          <w:tcPr>
            <w:tcW w:w="786" w:type="dxa"/>
            <w:tcBorders>
              <w:top w:val="single" w:color="FFFFFF" w:sz="4" w:space="0"/>
              <w:left w:val="nil"/>
              <w:bottom w:val="single" w:color="FFFFFF" w:sz="4" w:space="0"/>
              <w:right w:val="single" w:color="FFFFFF" w:sz="4" w:space="0"/>
            </w:tcBorders>
            <w:shd w:val="clear" w:color="B5C6EA" w:fill="B5C6EA"/>
            <w:vAlign w:val="center"/>
          </w:tcPr>
          <w:p w14:paraId="56CD2865">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3</w:t>
            </w:r>
          </w:p>
        </w:tc>
        <w:tc>
          <w:tcPr>
            <w:tcW w:w="2961"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576BDBFB">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江西省通用技术工程学校</w:t>
            </w:r>
          </w:p>
        </w:tc>
        <w:tc>
          <w:tcPr>
            <w:tcW w:w="4751" w:type="dxa"/>
            <w:tcBorders>
              <w:top w:val="single" w:color="FFFFFF" w:sz="4" w:space="0"/>
              <w:left w:val="single" w:color="FFFFFF" w:sz="4" w:space="0"/>
              <w:bottom w:val="single" w:color="FFFFFF" w:sz="4" w:space="0"/>
              <w:right w:val="nil"/>
            </w:tcBorders>
            <w:shd w:val="clear" w:color="B5C6EA" w:fill="B5C6EA"/>
            <w:vAlign w:val="center"/>
          </w:tcPr>
          <w:p w14:paraId="51FFA402">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公办学校、国家改革发展示范校、A档学校</w:t>
            </w:r>
          </w:p>
        </w:tc>
      </w:tr>
      <w:tr w14:paraId="65A40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single" w:color="FFFFFF" w:sz="4" w:space="0"/>
              <w:right w:val="single" w:color="FFFFFF" w:sz="4" w:space="0"/>
            </w:tcBorders>
            <w:shd w:val="clear" w:color="D9E1F4" w:fill="D9E1F4"/>
            <w:vAlign w:val="center"/>
          </w:tcPr>
          <w:p w14:paraId="54AA9AAE">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4</w:t>
            </w:r>
          </w:p>
        </w:tc>
        <w:tc>
          <w:tcPr>
            <w:tcW w:w="2961"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5A647140">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彭泽县旅游工业中等专业学校</w:t>
            </w:r>
          </w:p>
        </w:tc>
        <w:tc>
          <w:tcPr>
            <w:tcW w:w="4751" w:type="dxa"/>
            <w:tcBorders>
              <w:top w:val="single" w:color="FFFFFF" w:sz="4" w:space="0"/>
              <w:left w:val="single" w:color="FFFFFF" w:sz="4" w:space="0"/>
              <w:bottom w:val="single" w:color="FFFFFF" w:sz="4" w:space="0"/>
              <w:right w:val="nil"/>
            </w:tcBorders>
            <w:shd w:val="clear" w:color="D9E1F4" w:fill="D9E1F4"/>
            <w:vAlign w:val="center"/>
          </w:tcPr>
          <w:p w14:paraId="48182E82">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公办学校、A档学校、普通中专</w:t>
            </w:r>
          </w:p>
        </w:tc>
      </w:tr>
      <w:tr w14:paraId="5B2D0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single" w:color="FFFFFF" w:sz="4" w:space="0"/>
              <w:right w:val="single" w:color="FFFFFF" w:sz="4" w:space="0"/>
            </w:tcBorders>
            <w:shd w:val="clear" w:color="B5C6EA" w:fill="B5C6EA"/>
            <w:vAlign w:val="center"/>
          </w:tcPr>
          <w:p w14:paraId="5DD5CEB0">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5</w:t>
            </w:r>
          </w:p>
        </w:tc>
        <w:tc>
          <w:tcPr>
            <w:tcW w:w="2961"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053F014B">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武宁中等专业学校</w:t>
            </w:r>
          </w:p>
        </w:tc>
        <w:tc>
          <w:tcPr>
            <w:tcW w:w="4751" w:type="dxa"/>
            <w:tcBorders>
              <w:top w:val="single" w:color="FFFFFF" w:sz="4" w:space="0"/>
              <w:left w:val="single" w:color="FFFFFF" w:sz="4" w:space="0"/>
              <w:bottom w:val="single" w:color="FFFFFF" w:sz="4" w:space="0"/>
              <w:right w:val="nil"/>
            </w:tcBorders>
            <w:shd w:val="clear" w:color="B5C6EA" w:fill="B5C6EA"/>
            <w:vAlign w:val="center"/>
          </w:tcPr>
          <w:p w14:paraId="1339CCDE">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公办学校、B档学校、普通中专</w:t>
            </w:r>
          </w:p>
        </w:tc>
      </w:tr>
      <w:tr w14:paraId="601FC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single" w:color="FFFFFF" w:sz="4" w:space="0"/>
              <w:right w:val="single" w:color="FFFFFF" w:sz="4" w:space="0"/>
            </w:tcBorders>
            <w:shd w:val="clear" w:color="D9E1F4" w:fill="D9E1F4"/>
            <w:vAlign w:val="center"/>
          </w:tcPr>
          <w:p w14:paraId="5D416B02">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6</w:t>
            </w:r>
          </w:p>
        </w:tc>
        <w:tc>
          <w:tcPr>
            <w:tcW w:w="2961"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1D246D63">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都昌中等专业学校</w:t>
            </w:r>
          </w:p>
        </w:tc>
        <w:tc>
          <w:tcPr>
            <w:tcW w:w="4751" w:type="dxa"/>
            <w:tcBorders>
              <w:top w:val="single" w:color="FFFFFF" w:sz="4" w:space="0"/>
              <w:left w:val="single" w:color="FFFFFF" w:sz="4" w:space="0"/>
              <w:bottom w:val="single" w:color="FFFFFF" w:sz="4" w:space="0"/>
              <w:right w:val="nil"/>
            </w:tcBorders>
            <w:shd w:val="clear" w:color="D9E1F4" w:fill="D9E1F4"/>
            <w:vAlign w:val="center"/>
          </w:tcPr>
          <w:p w14:paraId="5DC1896D">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公办学校、B档学校、普通中专</w:t>
            </w:r>
          </w:p>
        </w:tc>
      </w:tr>
      <w:tr w14:paraId="7C676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single" w:color="FFFFFF" w:sz="4" w:space="0"/>
              <w:right w:val="single" w:color="FFFFFF" w:sz="4" w:space="0"/>
            </w:tcBorders>
            <w:shd w:val="clear" w:color="B5C6EA" w:fill="B5C6EA"/>
            <w:vAlign w:val="center"/>
          </w:tcPr>
          <w:p w14:paraId="7A94A981">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7</w:t>
            </w:r>
          </w:p>
        </w:tc>
        <w:tc>
          <w:tcPr>
            <w:tcW w:w="2961"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23B96323">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九江市卫生学校</w:t>
            </w:r>
          </w:p>
        </w:tc>
        <w:tc>
          <w:tcPr>
            <w:tcW w:w="4751" w:type="dxa"/>
            <w:tcBorders>
              <w:top w:val="single" w:color="FFFFFF" w:sz="4" w:space="0"/>
              <w:left w:val="single" w:color="FFFFFF" w:sz="4" w:space="0"/>
              <w:bottom w:val="single" w:color="FFFFFF" w:sz="4" w:space="0"/>
              <w:right w:val="nil"/>
            </w:tcBorders>
            <w:shd w:val="clear" w:color="B5C6EA" w:fill="B5C6EA"/>
            <w:vAlign w:val="center"/>
          </w:tcPr>
          <w:p w14:paraId="0BED802A">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公办学校、C档学校、普通中专</w:t>
            </w:r>
          </w:p>
        </w:tc>
      </w:tr>
      <w:tr w14:paraId="0B79A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single" w:color="FFFFFF" w:sz="4" w:space="0"/>
              <w:right w:val="single" w:color="FFFFFF" w:sz="4" w:space="0"/>
            </w:tcBorders>
            <w:shd w:val="clear" w:color="D9E1F4" w:fill="D9E1F4"/>
            <w:vAlign w:val="center"/>
          </w:tcPr>
          <w:p w14:paraId="6E02403B">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8</w:t>
            </w:r>
          </w:p>
        </w:tc>
        <w:tc>
          <w:tcPr>
            <w:tcW w:w="2961"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5FF13E63">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瑞昌中等专业学校</w:t>
            </w:r>
          </w:p>
        </w:tc>
        <w:tc>
          <w:tcPr>
            <w:tcW w:w="4751" w:type="dxa"/>
            <w:tcBorders>
              <w:top w:val="single" w:color="FFFFFF" w:sz="4" w:space="0"/>
              <w:left w:val="single" w:color="FFFFFF" w:sz="4" w:space="0"/>
              <w:bottom w:val="single" w:color="FFFFFF" w:sz="4" w:space="0"/>
              <w:right w:val="nil"/>
            </w:tcBorders>
            <w:shd w:val="clear" w:color="D9E1F4" w:fill="D9E1F4"/>
            <w:vAlign w:val="center"/>
          </w:tcPr>
          <w:p w14:paraId="5C99C086">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公办学校、C档学校、普通中专</w:t>
            </w:r>
          </w:p>
        </w:tc>
      </w:tr>
      <w:tr w14:paraId="19A65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single" w:color="FFFFFF" w:sz="4" w:space="0"/>
              <w:right w:val="single" w:color="FFFFFF" w:sz="4" w:space="0"/>
            </w:tcBorders>
            <w:shd w:val="clear" w:color="B5C6EA" w:fill="B5C6EA"/>
            <w:vAlign w:val="center"/>
          </w:tcPr>
          <w:p w14:paraId="0B389074">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9</w:t>
            </w:r>
          </w:p>
        </w:tc>
        <w:tc>
          <w:tcPr>
            <w:tcW w:w="2961"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69A949CD">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永修中等专业学校</w:t>
            </w:r>
          </w:p>
        </w:tc>
        <w:tc>
          <w:tcPr>
            <w:tcW w:w="4751" w:type="dxa"/>
            <w:tcBorders>
              <w:top w:val="single" w:color="FFFFFF" w:sz="4" w:space="0"/>
              <w:left w:val="single" w:color="FFFFFF" w:sz="4" w:space="0"/>
              <w:bottom w:val="single" w:color="FFFFFF" w:sz="4" w:space="0"/>
              <w:right w:val="nil"/>
            </w:tcBorders>
            <w:shd w:val="clear" w:color="B5C6EA" w:fill="B5C6EA"/>
            <w:vAlign w:val="center"/>
          </w:tcPr>
          <w:p w14:paraId="12AAC7B7">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公办学校、C档学校、普通中专</w:t>
            </w:r>
          </w:p>
        </w:tc>
      </w:tr>
      <w:tr w14:paraId="38202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single" w:color="FFFFFF" w:sz="4" w:space="0"/>
              <w:right w:val="single" w:color="FFFFFF" w:sz="4" w:space="0"/>
            </w:tcBorders>
            <w:shd w:val="clear" w:color="D9E1F4" w:fill="D9E1F4"/>
            <w:vAlign w:val="center"/>
          </w:tcPr>
          <w:p w14:paraId="5BCC6E0E">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10</w:t>
            </w:r>
          </w:p>
        </w:tc>
        <w:tc>
          <w:tcPr>
            <w:tcW w:w="2961"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2ECBC2C1">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德安县中等职业技术学校</w:t>
            </w:r>
          </w:p>
        </w:tc>
        <w:tc>
          <w:tcPr>
            <w:tcW w:w="4751" w:type="dxa"/>
            <w:tcBorders>
              <w:top w:val="single" w:color="FFFFFF" w:sz="4" w:space="0"/>
              <w:left w:val="single" w:color="FFFFFF" w:sz="4" w:space="0"/>
              <w:bottom w:val="single" w:color="FFFFFF" w:sz="4" w:space="0"/>
              <w:right w:val="nil"/>
            </w:tcBorders>
            <w:shd w:val="clear" w:color="D9E1F4" w:fill="D9E1F4"/>
            <w:vAlign w:val="center"/>
          </w:tcPr>
          <w:p w14:paraId="4FCED066">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公办学校、C档学校、职业高中</w:t>
            </w:r>
          </w:p>
        </w:tc>
      </w:tr>
      <w:tr w14:paraId="031A1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single" w:color="FFFFFF" w:sz="4" w:space="0"/>
              <w:right w:val="single" w:color="FFFFFF" w:sz="4" w:space="0"/>
            </w:tcBorders>
            <w:shd w:val="clear" w:color="B5C6EA" w:fill="B5C6EA"/>
            <w:vAlign w:val="center"/>
          </w:tcPr>
          <w:p w14:paraId="11F06104">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11</w:t>
            </w:r>
          </w:p>
        </w:tc>
        <w:tc>
          <w:tcPr>
            <w:tcW w:w="2961"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5B086728">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湖口县中等职业技术学校</w:t>
            </w:r>
          </w:p>
        </w:tc>
        <w:tc>
          <w:tcPr>
            <w:tcW w:w="4751" w:type="dxa"/>
            <w:tcBorders>
              <w:top w:val="single" w:color="FFFFFF" w:sz="4" w:space="0"/>
              <w:left w:val="single" w:color="FFFFFF" w:sz="4" w:space="0"/>
              <w:bottom w:val="single" w:color="FFFFFF" w:sz="4" w:space="0"/>
              <w:right w:val="nil"/>
            </w:tcBorders>
            <w:shd w:val="clear" w:color="B5C6EA" w:fill="B5C6EA"/>
            <w:vAlign w:val="center"/>
          </w:tcPr>
          <w:p w14:paraId="69178AC1">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公办学校、C档学校、职业高中</w:t>
            </w:r>
          </w:p>
        </w:tc>
      </w:tr>
      <w:tr w14:paraId="366D4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single" w:color="FFFFFF" w:sz="4" w:space="0"/>
              <w:right w:val="single" w:color="FFFFFF" w:sz="4" w:space="0"/>
            </w:tcBorders>
            <w:shd w:val="clear" w:color="D9E1F4" w:fill="D9E1F4"/>
            <w:vAlign w:val="center"/>
          </w:tcPr>
          <w:p w14:paraId="04C7CFAB">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12</w:t>
            </w:r>
          </w:p>
        </w:tc>
        <w:tc>
          <w:tcPr>
            <w:tcW w:w="2961"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3D97C144">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柴桑区中等职业技术学校</w:t>
            </w:r>
          </w:p>
        </w:tc>
        <w:tc>
          <w:tcPr>
            <w:tcW w:w="4751" w:type="dxa"/>
            <w:tcBorders>
              <w:top w:val="single" w:color="FFFFFF" w:sz="4" w:space="0"/>
              <w:left w:val="single" w:color="FFFFFF" w:sz="4" w:space="0"/>
              <w:bottom w:val="single" w:color="FFFFFF" w:sz="4" w:space="0"/>
              <w:right w:val="nil"/>
            </w:tcBorders>
            <w:shd w:val="clear" w:color="D9E1F4" w:fill="D9E1F4"/>
            <w:vAlign w:val="center"/>
          </w:tcPr>
          <w:p w14:paraId="4C468ACA">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公办学校、C档学校、职业高中</w:t>
            </w:r>
          </w:p>
        </w:tc>
      </w:tr>
      <w:tr w14:paraId="4F2F1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single" w:color="FFFFFF" w:sz="4" w:space="0"/>
              <w:right w:val="single" w:color="FFFFFF" w:sz="4" w:space="0"/>
            </w:tcBorders>
            <w:shd w:val="clear" w:color="B5C6EA" w:fill="B5C6EA"/>
            <w:vAlign w:val="center"/>
          </w:tcPr>
          <w:p w14:paraId="321210B2">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13</w:t>
            </w:r>
          </w:p>
        </w:tc>
        <w:tc>
          <w:tcPr>
            <w:tcW w:w="2961"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39A42DE7">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江西省庐山旅游职业高级中学</w:t>
            </w:r>
          </w:p>
        </w:tc>
        <w:tc>
          <w:tcPr>
            <w:tcW w:w="4751" w:type="dxa"/>
            <w:tcBorders>
              <w:top w:val="single" w:color="FFFFFF" w:sz="4" w:space="0"/>
              <w:left w:val="single" w:color="FFFFFF" w:sz="4" w:space="0"/>
              <w:bottom w:val="single" w:color="FFFFFF" w:sz="4" w:space="0"/>
              <w:right w:val="nil"/>
            </w:tcBorders>
            <w:shd w:val="clear" w:color="B5C6EA" w:fill="B5C6EA"/>
            <w:vAlign w:val="center"/>
          </w:tcPr>
          <w:p w14:paraId="6D92AA3E">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公办学校、职业高中</w:t>
            </w:r>
          </w:p>
        </w:tc>
      </w:tr>
      <w:tr w14:paraId="572D4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single" w:color="FFFFFF" w:sz="4" w:space="0"/>
              <w:right w:val="single" w:color="FFFFFF" w:sz="4" w:space="0"/>
            </w:tcBorders>
            <w:shd w:val="clear" w:color="D9E1F4" w:fill="D9E1F4"/>
            <w:vAlign w:val="center"/>
          </w:tcPr>
          <w:p w14:paraId="32756155">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14</w:t>
            </w:r>
          </w:p>
        </w:tc>
        <w:tc>
          <w:tcPr>
            <w:tcW w:w="2961"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7D05989A">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九江市理工职业技术学校</w:t>
            </w:r>
          </w:p>
        </w:tc>
        <w:tc>
          <w:tcPr>
            <w:tcW w:w="4751" w:type="dxa"/>
            <w:tcBorders>
              <w:top w:val="single" w:color="FFFFFF" w:sz="4" w:space="0"/>
              <w:left w:val="single" w:color="FFFFFF" w:sz="4" w:space="0"/>
              <w:bottom w:val="single" w:color="FFFFFF" w:sz="4" w:space="0"/>
              <w:right w:val="nil"/>
            </w:tcBorders>
            <w:shd w:val="clear" w:color="D9E1F4" w:fill="D9E1F4"/>
            <w:vAlign w:val="center"/>
          </w:tcPr>
          <w:p w14:paraId="18ECDC50">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民办学校、C档学校、职业高中</w:t>
            </w:r>
          </w:p>
        </w:tc>
      </w:tr>
      <w:tr w14:paraId="219BE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single" w:color="FFFFFF" w:sz="4" w:space="0"/>
              <w:right w:val="single" w:color="FFFFFF" w:sz="4" w:space="0"/>
            </w:tcBorders>
            <w:shd w:val="clear" w:color="B5C6EA" w:fill="B5C6EA"/>
            <w:vAlign w:val="center"/>
          </w:tcPr>
          <w:p w14:paraId="4EB17D7E">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15</w:t>
            </w:r>
          </w:p>
        </w:tc>
        <w:tc>
          <w:tcPr>
            <w:tcW w:w="2961"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64B22F61">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九江庐山西海艺术学校</w:t>
            </w:r>
          </w:p>
        </w:tc>
        <w:tc>
          <w:tcPr>
            <w:tcW w:w="4751" w:type="dxa"/>
            <w:tcBorders>
              <w:top w:val="single" w:color="FFFFFF" w:sz="4" w:space="0"/>
              <w:left w:val="single" w:color="FFFFFF" w:sz="4" w:space="0"/>
              <w:bottom w:val="single" w:color="FFFFFF" w:sz="4" w:space="0"/>
              <w:right w:val="nil"/>
            </w:tcBorders>
            <w:shd w:val="clear" w:color="B5C6EA" w:fill="B5C6EA"/>
            <w:vAlign w:val="center"/>
          </w:tcPr>
          <w:p w14:paraId="5CF1965B">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民办学校、C档学校、职业高中</w:t>
            </w:r>
          </w:p>
        </w:tc>
      </w:tr>
      <w:tr w14:paraId="2EA2F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single" w:color="FFFFFF" w:sz="4" w:space="0"/>
              <w:right w:val="single" w:color="FFFFFF" w:sz="4" w:space="0"/>
            </w:tcBorders>
            <w:shd w:val="clear" w:color="D9E1F4" w:fill="D9E1F4"/>
            <w:vAlign w:val="center"/>
          </w:tcPr>
          <w:p w14:paraId="1C3F1D43">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16</w:t>
            </w:r>
          </w:p>
        </w:tc>
        <w:tc>
          <w:tcPr>
            <w:tcW w:w="2961"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6283442A">
            <w:pPr>
              <w:keepNext w:val="0"/>
              <w:keepLines w:val="0"/>
              <w:widowControl/>
              <w:suppressLineNumbers w:val="0"/>
              <w:jc w:val="left"/>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共青中医药学校</w:t>
            </w:r>
          </w:p>
        </w:tc>
        <w:tc>
          <w:tcPr>
            <w:tcW w:w="4751" w:type="dxa"/>
            <w:tcBorders>
              <w:top w:val="single" w:color="FFFFFF" w:sz="4" w:space="0"/>
              <w:left w:val="single" w:color="FFFFFF" w:sz="4" w:space="0"/>
              <w:bottom w:val="single" w:color="FFFFFF" w:sz="4" w:space="0"/>
              <w:right w:val="nil"/>
            </w:tcBorders>
            <w:shd w:val="clear" w:color="D9E1F4" w:fill="D9E1F4"/>
            <w:vAlign w:val="center"/>
          </w:tcPr>
          <w:p w14:paraId="3A5AD27F">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民办学校、C档学校、职业高中</w:t>
            </w:r>
          </w:p>
        </w:tc>
      </w:tr>
      <w:tr w14:paraId="60D85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single" w:color="FFFFFF" w:sz="4" w:space="0"/>
              <w:right w:val="single" w:color="FFFFFF" w:sz="4" w:space="0"/>
            </w:tcBorders>
            <w:shd w:val="clear" w:color="B5C6EA" w:fill="B5C6EA"/>
            <w:vAlign w:val="center"/>
          </w:tcPr>
          <w:p w14:paraId="48EA1B54">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17</w:t>
            </w:r>
          </w:p>
        </w:tc>
        <w:tc>
          <w:tcPr>
            <w:tcW w:w="2961"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78A28C66">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九江华东电子信息学校</w:t>
            </w:r>
          </w:p>
        </w:tc>
        <w:tc>
          <w:tcPr>
            <w:tcW w:w="4751" w:type="dxa"/>
            <w:tcBorders>
              <w:top w:val="single" w:color="FFFFFF" w:sz="4" w:space="0"/>
              <w:left w:val="single" w:color="FFFFFF" w:sz="4" w:space="0"/>
              <w:bottom w:val="single" w:color="FFFFFF" w:sz="4" w:space="0"/>
              <w:right w:val="nil"/>
            </w:tcBorders>
            <w:shd w:val="clear" w:color="B5C6EA" w:fill="B5C6EA"/>
            <w:vAlign w:val="center"/>
          </w:tcPr>
          <w:p w14:paraId="3CD290C1">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民办学校、C档学校、职业高中</w:t>
            </w:r>
          </w:p>
        </w:tc>
      </w:tr>
      <w:tr w14:paraId="1DC17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single" w:color="FFFFFF" w:sz="4" w:space="0"/>
              <w:right w:val="single" w:color="FFFFFF" w:sz="4" w:space="0"/>
            </w:tcBorders>
            <w:shd w:val="clear" w:color="D9E1F4" w:fill="D9E1F4"/>
            <w:vAlign w:val="center"/>
          </w:tcPr>
          <w:p w14:paraId="0EB699CA">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18</w:t>
            </w:r>
          </w:p>
        </w:tc>
        <w:tc>
          <w:tcPr>
            <w:tcW w:w="2961"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77BB223E">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赣北电子工业学校</w:t>
            </w:r>
          </w:p>
        </w:tc>
        <w:tc>
          <w:tcPr>
            <w:tcW w:w="4751" w:type="dxa"/>
            <w:tcBorders>
              <w:top w:val="single" w:color="FFFFFF" w:sz="4" w:space="0"/>
              <w:left w:val="single" w:color="FFFFFF" w:sz="4" w:space="0"/>
              <w:bottom w:val="single" w:color="FFFFFF" w:sz="4" w:space="0"/>
              <w:right w:val="nil"/>
            </w:tcBorders>
            <w:shd w:val="clear" w:color="D9E1F4" w:fill="D9E1F4"/>
            <w:vAlign w:val="center"/>
          </w:tcPr>
          <w:p w14:paraId="0D2AC0CA">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民办学校、职业高中</w:t>
            </w:r>
          </w:p>
        </w:tc>
      </w:tr>
      <w:tr w14:paraId="68EE8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nil"/>
              <w:right w:val="single" w:color="FFFFFF" w:sz="4" w:space="0"/>
            </w:tcBorders>
            <w:shd w:val="clear" w:color="B5C6EA" w:fill="B5C6EA"/>
            <w:vAlign w:val="center"/>
          </w:tcPr>
          <w:p w14:paraId="2C2AE7A4">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w:t>
            </w:r>
          </w:p>
        </w:tc>
        <w:tc>
          <w:tcPr>
            <w:tcW w:w="2961" w:type="dxa"/>
            <w:tcBorders>
              <w:top w:val="single" w:color="FFFFFF" w:sz="4" w:space="0"/>
              <w:left w:val="single" w:color="FFFFFF" w:sz="4" w:space="0"/>
              <w:bottom w:val="nil"/>
              <w:right w:val="single" w:color="FFFFFF" w:sz="4" w:space="0"/>
            </w:tcBorders>
            <w:shd w:val="clear" w:color="B5C6EA" w:fill="B5C6EA"/>
            <w:vAlign w:val="center"/>
          </w:tcPr>
          <w:p w14:paraId="3F0C8638">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九江市韶华职业高中</w:t>
            </w:r>
          </w:p>
        </w:tc>
        <w:tc>
          <w:tcPr>
            <w:tcW w:w="4751" w:type="dxa"/>
            <w:tcBorders>
              <w:top w:val="single" w:color="FFFFFF" w:sz="4" w:space="0"/>
              <w:left w:val="single" w:color="FFFFFF" w:sz="4" w:space="0"/>
              <w:bottom w:val="nil"/>
              <w:right w:val="nil"/>
            </w:tcBorders>
            <w:shd w:val="clear" w:color="B5C6EA" w:fill="B5C6EA"/>
            <w:vAlign w:val="center"/>
          </w:tcPr>
          <w:p w14:paraId="0F698565">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民办学校、职业高中、2023年新设</w:t>
            </w:r>
          </w:p>
        </w:tc>
      </w:tr>
    </w:tbl>
    <w:p w14:paraId="02902CA0">
      <w:pPr>
        <w:pStyle w:val="16"/>
        <w:bidi w:val="0"/>
        <w:rPr>
          <w:rFonts w:hint="default"/>
          <w:lang w:val="en-US" w:eastAsia="zh-CN"/>
        </w:rPr>
      </w:pPr>
    </w:p>
    <w:p w14:paraId="1DA6AF07">
      <w:pPr>
        <w:pStyle w:val="16"/>
        <w:bidi w:val="0"/>
        <w:rPr>
          <w:rFonts w:hint="default"/>
          <w:lang w:val="en-US" w:eastAsia="zh-CN"/>
        </w:rPr>
      </w:pPr>
      <w:r>
        <w:rPr>
          <w:rFonts w:hint="default"/>
          <w:lang w:val="en-US" w:eastAsia="zh-CN"/>
        </w:rPr>
        <w:t>截至202</w:t>
      </w:r>
      <w:r>
        <w:rPr>
          <w:rFonts w:hint="eastAsia"/>
          <w:lang w:val="en-US" w:eastAsia="zh-CN"/>
        </w:rPr>
        <w:t>3</w:t>
      </w:r>
      <w:r>
        <w:rPr>
          <w:rFonts w:hint="default"/>
          <w:lang w:val="en-US" w:eastAsia="zh-CN"/>
        </w:rPr>
        <w:t>年底，全市中等职业教育在籍在校生共有</w:t>
      </w:r>
      <w:r>
        <w:rPr>
          <w:rFonts w:hint="eastAsia"/>
          <w:lang w:val="en-US" w:eastAsia="zh-CN"/>
        </w:rPr>
        <w:t>66839</w:t>
      </w:r>
      <w:r>
        <w:rPr>
          <w:rFonts w:hint="default"/>
          <w:lang w:val="en-US" w:eastAsia="zh-CN"/>
        </w:rPr>
        <w:t>人，其中，中等职业学校在校生</w:t>
      </w:r>
      <w:r>
        <w:rPr>
          <w:rFonts w:hint="eastAsia"/>
          <w:lang w:val="en-US" w:eastAsia="zh-CN"/>
        </w:rPr>
        <w:t>40934</w:t>
      </w:r>
      <w:r>
        <w:rPr>
          <w:rFonts w:hint="default"/>
          <w:lang w:val="en-US" w:eastAsia="zh-CN"/>
        </w:rPr>
        <w:t>人，技工学校在校生</w:t>
      </w:r>
      <w:r>
        <w:rPr>
          <w:rFonts w:hint="eastAsia"/>
          <w:lang w:val="en-US" w:eastAsia="zh-CN"/>
        </w:rPr>
        <w:t>20748</w:t>
      </w:r>
      <w:r>
        <w:rPr>
          <w:rFonts w:hint="default"/>
          <w:lang w:val="en-US" w:eastAsia="zh-CN"/>
        </w:rPr>
        <w:t>人，驻市高职院校长学制在校生</w:t>
      </w:r>
      <w:r>
        <w:rPr>
          <w:rFonts w:hint="eastAsia"/>
          <w:lang w:val="en-US" w:eastAsia="zh-CN"/>
        </w:rPr>
        <w:t>5157</w:t>
      </w:r>
      <w:r>
        <w:rPr>
          <w:rFonts w:hint="default"/>
          <w:lang w:val="en-US" w:eastAsia="zh-CN"/>
        </w:rPr>
        <w:t>人。202</w:t>
      </w:r>
      <w:r>
        <w:rPr>
          <w:rFonts w:hint="eastAsia"/>
          <w:lang w:val="en-US" w:eastAsia="zh-CN"/>
        </w:rPr>
        <w:t>3</w:t>
      </w:r>
      <w:r>
        <w:rPr>
          <w:rFonts w:hint="default"/>
          <w:lang w:val="en-US" w:eastAsia="zh-CN"/>
        </w:rPr>
        <w:t>年全市普通高中学生共计122544人，在校生普职比为</w:t>
      </w:r>
      <w:r>
        <w:rPr>
          <w:rFonts w:hint="eastAsia"/>
          <w:lang w:val="en-US" w:eastAsia="zh-CN"/>
        </w:rPr>
        <w:t>65</w:t>
      </w:r>
      <w:r>
        <w:rPr>
          <w:rFonts w:hint="default"/>
          <w:lang w:val="en-US" w:eastAsia="zh-CN"/>
        </w:rPr>
        <w:t>：</w:t>
      </w:r>
      <w:r>
        <w:rPr>
          <w:rFonts w:hint="eastAsia"/>
          <w:lang w:val="en-US" w:eastAsia="zh-CN"/>
        </w:rPr>
        <w:t>35</w:t>
      </w:r>
      <w:r>
        <w:rPr>
          <w:rFonts w:hint="default"/>
          <w:lang w:val="en-US" w:eastAsia="zh-CN"/>
        </w:rPr>
        <w:t>。</w:t>
      </w:r>
    </w:p>
    <w:p w14:paraId="2D50C388">
      <w:pPr>
        <w:pStyle w:val="16"/>
        <w:bidi w:val="0"/>
        <w:rPr>
          <w:rFonts w:hint="default"/>
          <w:lang w:val="en-US" w:eastAsia="zh-CN"/>
        </w:rPr>
      </w:pPr>
    </w:p>
    <w:p w14:paraId="1C5A109E">
      <w:pPr>
        <w:pStyle w:val="38"/>
        <w:bidi w:val="0"/>
        <w:rPr>
          <w:rFonts w:hint="default"/>
          <w:lang w:val="en-US" w:eastAsia="zh-CN"/>
        </w:rPr>
      </w:pPr>
      <w:bookmarkStart w:id="23" w:name="_Toc28160"/>
      <w:r>
        <w:rPr>
          <w:rFonts w:hint="default"/>
          <w:lang w:val="en-US" w:eastAsia="zh-CN"/>
        </w:rPr>
        <w:t>表2：全市各类学校中职阶段教育在校生情况一览表</w:t>
      </w:r>
      <w:bookmarkEnd w:id="23"/>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8"/>
        <w:gridCol w:w="2946"/>
        <w:gridCol w:w="1266"/>
        <w:gridCol w:w="1536"/>
        <w:gridCol w:w="1060"/>
      </w:tblGrid>
      <w:tr w14:paraId="36D71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nil"/>
              <w:left w:val="nil"/>
              <w:bottom w:val="single" w:color="FFFFFF" w:sz="12" w:space="0"/>
              <w:right w:val="single" w:color="FFFFFF" w:sz="4" w:space="0"/>
            </w:tcBorders>
            <w:shd w:val="clear" w:color="4874CB" w:fill="4874CB"/>
            <w:noWrap/>
            <w:vAlign w:val="center"/>
          </w:tcPr>
          <w:p w14:paraId="4438DBC5">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序号</w:t>
            </w:r>
          </w:p>
        </w:tc>
        <w:tc>
          <w:tcPr>
            <w:tcW w:w="0" w:type="auto"/>
            <w:tcBorders>
              <w:top w:val="nil"/>
              <w:left w:val="single" w:color="FFFFFF" w:sz="4" w:space="0"/>
              <w:bottom w:val="single" w:color="FFFFFF" w:sz="12" w:space="0"/>
              <w:right w:val="single" w:color="FFFFFF" w:sz="4" w:space="0"/>
            </w:tcBorders>
            <w:shd w:val="clear" w:color="4874CB" w:fill="4874CB"/>
            <w:noWrap/>
            <w:vAlign w:val="center"/>
          </w:tcPr>
          <w:p w14:paraId="26541922">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学校</w:t>
            </w:r>
          </w:p>
        </w:tc>
        <w:tc>
          <w:tcPr>
            <w:tcW w:w="0" w:type="auto"/>
            <w:tcBorders>
              <w:top w:val="nil"/>
              <w:left w:val="single" w:color="FFFFFF" w:sz="4" w:space="0"/>
              <w:bottom w:val="single" w:color="FFFFFF" w:sz="12" w:space="0"/>
              <w:right w:val="single" w:color="FFFFFF" w:sz="4" w:space="0"/>
            </w:tcBorders>
            <w:shd w:val="clear" w:color="4874CB" w:fill="4874CB"/>
            <w:noWrap/>
            <w:vAlign w:val="center"/>
          </w:tcPr>
          <w:p w14:paraId="070FE8F3">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学校类别</w:t>
            </w:r>
          </w:p>
        </w:tc>
        <w:tc>
          <w:tcPr>
            <w:tcW w:w="0" w:type="auto"/>
            <w:tcBorders>
              <w:top w:val="nil"/>
              <w:left w:val="single" w:color="FFFFFF" w:sz="4" w:space="0"/>
              <w:bottom w:val="single" w:color="FFFFFF" w:sz="12" w:space="0"/>
              <w:right w:val="single" w:color="FFFFFF" w:sz="4" w:space="0"/>
            </w:tcBorders>
            <w:shd w:val="clear" w:color="4874CB" w:fill="4874CB"/>
            <w:noWrap/>
            <w:vAlign w:val="center"/>
          </w:tcPr>
          <w:p w14:paraId="247E5CB2">
            <w:pPr>
              <w:jc w:val="center"/>
              <w:rPr>
                <w:rFonts w:hint="default" w:ascii="仿宋_GB2312" w:hAnsi="仿宋_GB2312" w:eastAsia="仿宋_GB2312" w:cs="仿宋_GB2312"/>
                <w:b/>
                <w:bCs/>
                <w:i w:val="0"/>
                <w:iCs w:val="0"/>
                <w:color w:val="FFFFFF"/>
                <w:sz w:val="21"/>
                <w:szCs w:val="21"/>
                <w:u w:val="none"/>
                <w:lang w:val="en-US" w:eastAsia="zh-CN"/>
              </w:rPr>
            </w:pPr>
            <w:r>
              <w:rPr>
                <w:rFonts w:hint="eastAsia" w:ascii="仿宋_GB2312" w:hAnsi="仿宋_GB2312" w:eastAsia="仿宋_GB2312" w:cs="仿宋_GB2312"/>
                <w:b/>
                <w:bCs/>
                <w:i w:val="0"/>
                <w:iCs w:val="0"/>
                <w:color w:val="FFFFFF"/>
                <w:sz w:val="21"/>
                <w:szCs w:val="21"/>
                <w:u w:val="none"/>
                <w:lang w:val="en-US" w:eastAsia="zh-CN"/>
              </w:rPr>
              <w:t>2023年新生数</w:t>
            </w:r>
          </w:p>
        </w:tc>
        <w:tc>
          <w:tcPr>
            <w:tcW w:w="0" w:type="auto"/>
            <w:tcBorders>
              <w:top w:val="nil"/>
              <w:left w:val="single" w:color="FFFFFF" w:sz="4" w:space="0"/>
              <w:bottom w:val="single" w:color="FFFFFF" w:sz="12" w:space="0"/>
              <w:right w:val="nil"/>
            </w:tcBorders>
            <w:shd w:val="clear" w:color="4874CB" w:fill="4874CB"/>
            <w:noWrap/>
            <w:vAlign w:val="center"/>
          </w:tcPr>
          <w:p w14:paraId="58E90534">
            <w:pPr>
              <w:jc w:val="center"/>
              <w:rPr>
                <w:rFonts w:hint="default" w:ascii="仿宋_GB2312" w:hAnsi="仿宋_GB2312" w:eastAsia="仿宋_GB2312" w:cs="仿宋_GB2312"/>
                <w:b/>
                <w:bCs/>
                <w:i w:val="0"/>
                <w:iCs w:val="0"/>
                <w:color w:val="FFFFFF"/>
                <w:sz w:val="21"/>
                <w:szCs w:val="21"/>
                <w:u w:val="none"/>
                <w:lang w:val="en-US" w:eastAsia="zh-CN"/>
              </w:rPr>
            </w:pPr>
            <w:r>
              <w:rPr>
                <w:rFonts w:hint="eastAsia" w:ascii="仿宋_GB2312" w:hAnsi="仿宋_GB2312" w:eastAsia="仿宋_GB2312" w:cs="仿宋_GB2312"/>
                <w:b/>
                <w:bCs/>
                <w:i w:val="0"/>
                <w:iCs w:val="0"/>
                <w:color w:val="FFFFFF"/>
                <w:sz w:val="21"/>
                <w:szCs w:val="21"/>
                <w:u w:val="none"/>
                <w:lang w:val="en-US" w:eastAsia="zh-CN"/>
              </w:rPr>
              <w:t>在校生数</w:t>
            </w:r>
          </w:p>
        </w:tc>
      </w:tr>
      <w:tr w14:paraId="47EDD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FFFFFF" w:sz="12" w:space="0"/>
              <w:left w:val="nil"/>
              <w:bottom w:val="single" w:color="FFFFFF" w:sz="4" w:space="0"/>
              <w:right w:val="single" w:color="FFFFFF" w:sz="4" w:space="0"/>
            </w:tcBorders>
            <w:shd w:val="clear" w:color="B5C6EA" w:fill="B5C6EA"/>
            <w:noWrap/>
            <w:vAlign w:val="center"/>
          </w:tcPr>
          <w:p w14:paraId="5F8002D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0" w:type="auto"/>
            <w:tcBorders>
              <w:top w:val="single" w:color="FFFFFF" w:sz="12" w:space="0"/>
              <w:left w:val="single" w:color="FFFFFF" w:sz="4" w:space="0"/>
              <w:bottom w:val="single" w:color="FFFFFF" w:sz="4" w:space="0"/>
              <w:right w:val="single" w:color="FFFFFF" w:sz="4" w:space="0"/>
            </w:tcBorders>
            <w:shd w:val="clear" w:color="B5C6EA" w:fill="B5C6EA"/>
            <w:noWrap/>
            <w:vAlign w:val="center"/>
          </w:tcPr>
          <w:p w14:paraId="307BABA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九江市卫生学校</w:t>
            </w:r>
          </w:p>
        </w:tc>
        <w:tc>
          <w:tcPr>
            <w:tcW w:w="0" w:type="auto"/>
            <w:tcBorders>
              <w:top w:val="single" w:color="FFFFFF" w:sz="12" w:space="0"/>
              <w:left w:val="single" w:color="FFFFFF" w:sz="4" w:space="0"/>
              <w:bottom w:val="single" w:color="FFFFFF" w:sz="4" w:space="0"/>
              <w:right w:val="single" w:color="FFFFFF" w:sz="4" w:space="0"/>
            </w:tcBorders>
            <w:shd w:val="clear" w:color="B5C6EA" w:fill="B5C6EA"/>
            <w:noWrap/>
            <w:vAlign w:val="center"/>
          </w:tcPr>
          <w:p w14:paraId="16B47E4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12" w:space="0"/>
              <w:left w:val="single" w:color="FFFFFF" w:sz="4" w:space="0"/>
              <w:bottom w:val="single" w:color="FFFFFF" w:sz="4" w:space="0"/>
              <w:right w:val="single" w:color="FFFFFF" w:sz="4" w:space="0"/>
            </w:tcBorders>
            <w:shd w:val="clear" w:color="B5C6EA" w:fill="B5C6EA"/>
            <w:noWrap/>
            <w:vAlign w:val="center"/>
          </w:tcPr>
          <w:p w14:paraId="4507BD6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924</w:t>
            </w:r>
          </w:p>
        </w:tc>
        <w:tc>
          <w:tcPr>
            <w:tcW w:w="0" w:type="auto"/>
            <w:tcBorders>
              <w:top w:val="single" w:color="FFFFFF" w:sz="12" w:space="0"/>
              <w:left w:val="single" w:color="FFFFFF" w:sz="4" w:space="0"/>
              <w:bottom w:val="single" w:color="FFFFFF" w:sz="4" w:space="0"/>
              <w:right w:val="nil"/>
            </w:tcBorders>
            <w:shd w:val="clear" w:color="B5C6EA" w:fill="B5C6EA"/>
            <w:noWrap/>
            <w:vAlign w:val="center"/>
          </w:tcPr>
          <w:p w14:paraId="7361D30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3482</w:t>
            </w:r>
          </w:p>
        </w:tc>
      </w:tr>
      <w:tr w14:paraId="291DD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339BF4B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A13D72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华东电子信息学校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E1EA5C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6E2E4B9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155</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6143B6C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1739</w:t>
            </w:r>
          </w:p>
        </w:tc>
      </w:tr>
      <w:tr w14:paraId="7850D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3926CA1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7F9846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赣北电子工业学校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CA474E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12EB12D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121</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7AFBD7C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644</w:t>
            </w:r>
          </w:p>
        </w:tc>
      </w:tr>
      <w:tr w14:paraId="7E727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465FF90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625D9C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九江远东海事学校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71D8CAA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57CC72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0</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77A2593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223</w:t>
            </w:r>
          </w:p>
        </w:tc>
      </w:tr>
      <w:tr w14:paraId="2F346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7F1B8F2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4B0A6AC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江西九江科技中等专业学校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1EFDD9F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215587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1556</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57C8D28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4323</w:t>
            </w:r>
          </w:p>
        </w:tc>
      </w:tr>
      <w:tr w14:paraId="6F251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7BA8B2D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56511F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九江理工职业技术学校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3C0AA3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A8F001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36</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57A229B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1431</w:t>
            </w:r>
          </w:p>
        </w:tc>
      </w:tr>
      <w:tr w14:paraId="05AF2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0ADA914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1FB2D08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柴桑区职业技术学校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00ED0B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1236BB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519</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4476804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1438</w:t>
            </w:r>
          </w:p>
        </w:tc>
      </w:tr>
      <w:tr w14:paraId="73F3D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169CA5F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5A8758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修水中等专业学校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1394AA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EF9736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1827</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6582D8C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4999</w:t>
            </w:r>
          </w:p>
        </w:tc>
      </w:tr>
      <w:tr w14:paraId="70462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093F48D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8F3E9B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武宁中等专业学校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53A588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A6A655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904</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3F6517C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2494</w:t>
            </w:r>
          </w:p>
        </w:tc>
      </w:tr>
      <w:tr w14:paraId="78ACB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59BB6E6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BD5E41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庐山西海艺术学校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F8E456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4A7732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291</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72FF644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1049</w:t>
            </w:r>
          </w:p>
        </w:tc>
      </w:tr>
      <w:tr w14:paraId="6E0D9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67F55E3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18C61A9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瑞昌中等专业学校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FEB3A4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28BF2EF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912</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339E968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2718</w:t>
            </w:r>
          </w:p>
        </w:tc>
      </w:tr>
      <w:tr w14:paraId="7E97F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6AC360A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F5C90D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都昌中等专业学校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314D6F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41DBF8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1124</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33D8CB1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2927</w:t>
            </w:r>
          </w:p>
        </w:tc>
      </w:tr>
      <w:tr w14:paraId="24D26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5994F8D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13</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E8D7F2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彭泽县旅游工业中等专业学校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CCA077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B06FA4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717</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48E598E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3313</w:t>
            </w:r>
          </w:p>
        </w:tc>
      </w:tr>
      <w:tr w14:paraId="64024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325535F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14</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737260F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湖口县中等职业技术学校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3F709F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4D1A13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442</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34F8B99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899</w:t>
            </w:r>
          </w:p>
        </w:tc>
      </w:tr>
      <w:tr w14:paraId="18924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03B9350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15</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2A0DE1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永修中等专业学校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2035EBF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F73360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949</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4366D4B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3307</w:t>
            </w:r>
          </w:p>
        </w:tc>
      </w:tr>
      <w:tr w14:paraId="2EEE7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560C18C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16</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67A5CFD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江西省庐山旅游职业高级中学</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693B110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5A7509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122</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3C05E3D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280</w:t>
            </w:r>
          </w:p>
        </w:tc>
      </w:tr>
      <w:tr w14:paraId="28D6B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77F1E90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17</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1EC8B54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德安县中等职业技术学校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B98ED9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493667F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337</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2B4F1FF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1202</w:t>
            </w:r>
          </w:p>
        </w:tc>
      </w:tr>
      <w:tr w14:paraId="55830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351907A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18</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94492E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共青中医药学校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ED7246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6EFC7F3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280</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22B78EE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1380</w:t>
            </w:r>
          </w:p>
        </w:tc>
      </w:tr>
      <w:tr w14:paraId="03027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3539C45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19</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1738100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江西省通用技术工程学校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B6FA5B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B5288A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1325</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27A16E8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3086</w:t>
            </w:r>
          </w:p>
        </w:tc>
      </w:tr>
      <w:tr w14:paraId="0E6FC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230D891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944FD4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九江市机械技工学校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15B365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4D328E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169</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2D99FE4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716</w:t>
            </w:r>
          </w:p>
        </w:tc>
      </w:tr>
      <w:tr w14:paraId="7B5FF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6509C6C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1AB4FD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九江庐山技工学校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4B03E0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24506D0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107</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14F1376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630</w:t>
            </w:r>
          </w:p>
        </w:tc>
      </w:tr>
      <w:tr w14:paraId="57621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5A3C334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61DB0D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九江育龙海事技工学校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C9BC0F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74607F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0</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4D0EFD8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196</w:t>
            </w:r>
          </w:p>
        </w:tc>
      </w:tr>
      <w:tr w14:paraId="3C5D5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4098D28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23</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4EC838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九江市轻化工业技工学校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427151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17E6E7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372</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1BF1792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521</w:t>
            </w:r>
          </w:p>
        </w:tc>
      </w:tr>
      <w:tr w14:paraId="39C5D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67A9647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24</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E58162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九江市高级技工学校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7A15B21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C7168F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1099</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01CE08C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2777</w:t>
            </w:r>
          </w:p>
        </w:tc>
      </w:tr>
      <w:tr w14:paraId="62771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56C189D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25</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37BB78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江西省通用技工学校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DEA8DC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2154970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35</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1B0D088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341</w:t>
            </w:r>
          </w:p>
        </w:tc>
      </w:tr>
      <w:tr w14:paraId="66CE2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60C4B35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26</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39FDE2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瑞昌市技工学校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429286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E52DA1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390</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3852BDD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1033</w:t>
            </w:r>
          </w:p>
        </w:tc>
      </w:tr>
      <w:tr w14:paraId="504B8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3B88580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27</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2D1864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修水县高级技工学校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2DECA9A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046DE2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921</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669B901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3100</w:t>
            </w:r>
          </w:p>
        </w:tc>
      </w:tr>
      <w:tr w14:paraId="72060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30C6A98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28</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7379D6D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九江市东王技工学校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EE9B07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170C4D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347</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70906C7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1480</w:t>
            </w:r>
          </w:p>
        </w:tc>
      </w:tr>
      <w:tr w14:paraId="1D4B4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6DFE216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29</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874459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德安县技工学校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8F3B3C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209F9E6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214</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1E3AD81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1204</w:t>
            </w:r>
          </w:p>
        </w:tc>
      </w:tr>
      <w:tr w14:paraId="32E29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77FCBBE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30</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7A9E4BB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武宁县技工学校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A1D1EA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68A3326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117</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31A541C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245</w:t>
            </w:r>
          </w:p>
        </w:tc>
      </w:tr>
      <w:tr w14:paraId="589D6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1517A4D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4CC990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九江市振邦技工学校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23F338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4075D6F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614</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28D18B6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1406</w:t>
            </w:r>
          </w:p>
        </w:tc>
      </w:tr>
      <w:tr w14:paraId="6C58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35BEC2E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F3D50B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九江市华科技工学校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7B4DB34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7A99D55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0</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41BC25E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3071</w:t>
            </w:r>
          </w:p>
        </w:tc>
      </w:tr>
      <w:tr w14:paraId="4FB96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1573D86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33</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DEC131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共青铁路工程技工学校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CB3BE9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B8C55D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210</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13D189A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905</w:t>
            </w:r>
          </w:p>
        </w:tc>
      </w:tr>
      <w:tr w14:paraId="5E617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37A1DE6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34</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95A9B6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共青技工学校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2A2953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8715CF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453</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532A5FB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1511</w:t>
            </w:r>
          </w:p>
        </w:tc>
      </w:tr>
      <w:tr w14:paraId="3804C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6FDE063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35</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3DB4AA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彭泽县技工学校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286D1B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B2719A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676</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4E9C8D4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829</w:t>
            </w:r>
          </w:p>
        </w:tc>
      </w:tr>
      <w:tr w14:paraId="07D9C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0F581A9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36</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CEEA05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九江市星辰技工学校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6734225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7D00F4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783</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5A5A090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783</w:t>
            </w:r>
          </w:p>
        </w:tc>
      </w:tr>
      <w:tr w14:paraId="51BBD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07AC2E6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37</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36F842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九江职业大学</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11198E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高职长学制</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DDA6AA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750</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7923E9C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2430</w:t>
            </w:r>
          </w:p>
        </w:tc>
      </w:tr>
      <w:tr w14:paraId="4A4EC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2B1009F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38</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879908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共青科技职业学院</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01A8AA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高职长学制</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F95D46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0</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645D728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600</w:t>
            </w:r>
          </w:p>
        </w:tc>
      </w:tr>
      <w:tr w14:paraId="6CEE1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68A0E94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39</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459BF45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九江职业技术学院</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282A144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高职长学制</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74CC84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90</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1877DA4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386</w:t>
            </w:r>
          </w:p>
        </w:tc>
      </w:tr>
      <w:tr w14:paraId="65A27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6B20A23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40</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586074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江西枫林涉外经贸职业学院</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C3B469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高职长学制</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D6A056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0</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4DDFA01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104</w:t>
            </w:r>
          </w:p>
        </w:tc>
      </w:tr>
      <w:tr w14:paraId="5E2CF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22F2C51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22CA085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江西财经职业学院</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841B26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高职长学制</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28BC2B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580</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476C315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580</w:t>
            </w:r>
          </w:p>
        </w:tc>
      </w:tr>
      <w:tr w14:paraId="13740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nil"/>
              <w:right w:val="single" w:color="FFFFFF" w:sz="4" w:space="0"/>
            </w:tcBorders>
            <w:shd w:val="clear" w:color="D9E1F4" w:fill="D9E1F4"/>
            <w:noWrap/>
            <w:vAlign w:val="center"/>
          </w:tcPr>
          <w:p w14:paraId="11345B8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42</w:t>
            </w:r>
          </w:p>
        </w:tc>
        <w:tc>
          <w:tcPr>
            <w:tcW w:w="0" w:type="auto"/>
            <w:tcBorders>
              <w:top w:val="single" w:color="FFFFFF" w:sz="4" w:space="0"/>
              <w:left w:val="single" w:color="FFFFFF" w:sz="4" w:space="0"/>
              <w:bottom w:val="nil"/>
              <w:right w:val="single" w:color="FFFFFF" w:sz="4" w:space="0"/>
            </w:tcBorders>
            <w:shd w:val="clear" w:color="D9E1F4" w:fill="D9E1F4"/>
            <w:noWrap/>
            <w:vAlign w:val="center"/>
          </w:tcPr>
          <w:p w14:paraId="6138A8D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九江理工职业学院</w:t>
            </w:r>
          </w:p>
        </w:tc>
        <w:tc>
          <w:tcPr>
            <w:tcW w:w="0" w:type="auto"/>
            <w:tcBorders>
              <w:top w:val="single" w:color="FFFFFF" w:sz="4" w:space="0"/>
              <w:left w:val="single" w:color="FFFFFF" w:sz="4" w:space="0"/>
              <w:bottom w:val="nil"/>
              <w:right w:val="single" w:color="FFFFFF" w:sz="4" w:space="0"/>
            </w:tcBorders>
            <w:shd w:val="clear" w:color="D9E1F4" w:fill="D9E1F4"/>
            <w:noWrap/>
            <w:vAlign w:val="center"/>
          </w:tcPr>
          <w:p w14:paraId="722770A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高职长学制</w:t>
            </w:r>
          </w:p>
        </w:tc>
        <w:tc>
          <w:tcPr>
            <w:tcW w:w="0" w:type="auto"/>
            <w:tcBorders>
              <w:top w:val="single" w:color="FFFFFF" w:sz="4" w:space="0"/>
              <w:left w:val="single" w:color="FFFFFF" w:sz="4" w:space="0"/>
              <w:bottom w:val="nil"/>
              <w:right w:val="single" w:color="FFFFFF" w:sz="4" w:space="0"/>
            </w:tcBorders>
            <w:shd w:val="clear" w:color="D9E1F4" w:fill="D9E1F4"/>
            <w:noWrap/>
            <w:vAlign w:val="center"/>
          </w:tcPr>
          <w:p w14:paraId="7DE340D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118</w:t>
            </w:r>
          </w:p>
        </w:tc>
        <w:tc>
          <w:tcPr>
            <w:tcW w:w="0" w:type="auto"/>
            <w:tcBorders>
              <w:top w:val="single" w:color="FFFFFF" w:sz="4" w:space="0"/>
              <w:left w:val="single" w:color="FFFFFF" w:sz="4" w:space="0"/>
              <w:bottom w:val="nil"/>
              <w:right w:val="nil"/>
            </w:tcBorders>
            <w:shd w:val="clear" w:color="D9E1F4" w:fill="D9E1F4"/>
            <w:noWrap/>
            <w:vAlign w:val="center"/>
          </w:tcPr>
          <w:p w14:paraId="5CBD37E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1057</w:t>
            </w:r>
          </w:p>
        </w:tc>
      </w:tr>
    </w:tbl>
    <w:p w14:paraId="32FFA713">
      <w:pPr>
        <w:pStyle w:val="16"/>
        <w:bidi w:val="0"/>
        <w:ind w:left="0" w:leftChars="0" w:firstLine="0" w:firstLineChars="0"/>
        <w:rPr>
          <w:rFonts w:hint="default"/>
          <w:lang w:val="en-US" w:eastAsia="zh-CN"/>
        </w:rPr>
      </w:pPr>
    </w:p>
    <w:p w14:paraId="4BF2603E">
      <w:pPr>
        <w:pStyle w:val="16"/>
        <w:rPr>
          <w:rFonts w:hint="default"/>
          <w:lang w:val="en-US" w:eastAsia="zh-CN"/>
        </w:rPr>
      </w:pPr>
      <w:r>
        <w:rPr>
          <w:rFonts w:hint="default"/>
          <w:lang w:val="en-US" w:eastAsia="zh-CN"/>
        </w:rPr>
        <w:t>202</w:t>
      </w:r>
      <w:r>
        <w:rPr>
          <w:rFonts w:hint="eastAsia"/>
          <w:lang w:val="en-US" w:eastAsia="zh-CN"/>
        </w:rPr>
        <w:t>3</w:t>
      </w:r>
      <w:r>
        <w:rPr>
          <w:rFonts w:hint="default"/>
          <w:lang w:val="en-US" w:eastAsia="zh-CN"/>
        </w:rPr>
        <w:t>年</w:t>
      </w:r>
      <w:r>
        <w:rPr>
          <w:rFonts w:hint="eastAsia"/>
          <w:lang w:val="en-US" w:eastAsia="zh-CN"/>
        </w:rPr>
        <w:t>我市</w:t>
      </w:r>
      <w:r>
        <w:rPr>
          <w:rFonts w:hint="default"/>
          <w:lang w:val="en-US" w:eastAsia="zh-CN"/>
        </w:rPr>
        <w:t>职业院校高中段共招生</w:t>
      </w:r>
      <w:r>
        <w:rPr>
          <w:rFonts w:hint="eastAsia"/>
          <w:lang w:val="en-US" w:eastAsia="zh-CN"/>
        </w:rPr>
        <w:t>20586</w:t>
      </w:r>
      <w:r>
        <w:rPr>
          <w:rFonts w:hint="default"/>
          <w:lang w:val="en-US" w:eastAsia="zh-CN"/>
        </w:rPr>
        <w:t>人，其中中职学校招生</w:t>
      </w:r>
      <w:r>
        <w:rPr>
          <w:rFonts w:hint="eastAsia"/>
          <w:lang w:val="en-US" w:eastAsia="zh-CN"/>
        </w:rPr>
        <w:t>14079</w:t>
      </w:r>
      <w:r>
        <w:rPr>
          <w:rFonts w:hint="default"/>
          <w:lang w:val="en-US" w:eastAsia="zh-CN"/>
        </w:rPr>
        <w:t>人（含长学制一体化培养学生数），技工院校招生</w:t>
      </w:r>
      <w:r>
        <w:rPr>
          <w:rFonts w:hint="eastAsia"/>
          <w:lang w:val="en-US" w:eastAsia="zh-CN"/>
        </w:rPr>
        <w:t>6507人。</w:t>
      </w:r>
      <w:r>
        <w:rPr>
          <w:rFonts w:hint="default"/>
          <w:lang w:val="en-US" w:eastAsia="zh-CN"/>
        </w:rPr>
        <w:t>普通高中招生</w:t>
      </w:r>
      <w:r>
        <w:rPr>
          <w:rFonts w:hint="eastAsia"/>
          <w:lang w:val="en-US" w:eastAsia="zh-CN"/>
        </w:rPr>
        <w:t>39454</w:t>
      </w:r>
      <w:r>
        <w:rPr>
          <w:rFonts w:hint="default"/>
          <w:lang w:val="en-US" w:eastAsia="zh-CN"/>
        </w:rPr>
        <w:t>人，高中段学校招生普职比为6</w:t>
      </w:r>
      <w:r>
        <w:rPr>
          <w:rFonts w:hint="eastAsia"/>
          <w:lang w:val="en-US" w:eastAsia="zh-CN"/>
        </w:rPr>
        <w:t>6</w:t>
      </w:r>
      <w:r>
        <w:rPr>
          <w:rFonts w:hint="default"/>
          <w:lang w:val="en-US" w:eastAsia="zh-CN"/>
        </w:rPr>
        <w:t>:3</w:t>
      </w:r>
      <w:r>
        <w:rPr>
          <w:rFonts w:hint="eastAsia"/>
          <w:lang w:val="en-US" w:eastAsia="zh-CN"/>
        </w:rPr>
        <w:t>4</w:t>
      </w:r>
      <w:r>
        <w:rPr>
          <w:rFonts w:hint="default"/>
          <w:lang w:val="en-US" w:eastAsia="zh-CN"/>
        </w:rPr>
        <w:t>。</w:t>
      </w:r>
    </w:p>
    <w:p w14:paraId="5E707CFA">
      <w:pPr>
        <w:pStyle w:val="38"/>
        <w:bidi w:val="0"/>
        <w:rPr>
          <w:rFonts w:hint="default"/>
          <w:lang w:val="en-US" w:eastAsia="zh-CN"/>
        </w:rPr>
      </w:pPr>
      <w:bookmarkStart w:id="24" w:name="_Toc25187"/>
      <w:r>
        <w:rPr>
          <w:rFonts w:hint="eastAsia"/>
          <w:lang w:val="en-US" w:eastAsia="zh-CN"/>
        </w:rPr>
        <w:t>表3：中等职业教育在校生历年规模统计表</w:t>
      </w:r>
      <w:bookmarkEnd w:id="24"/>
    </w:p>
    <w:tbl>
      <w:tblPr>
        <w:tblStyle w:val="13"/>
        <w:tblW w:w="819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17"/>
        <w:gridCol w:w="1517"/>
        <w:gridCol w:w="1517"/>
        <w:gridCol w:w="1517"/>
        <w:gridCol w:w="2129"/>
      </w:tblGrid>
      <w:tr w14:paraId="030D0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6" w:hRule="atLeast"/>
        </w:trPr>
        <w:tc>
          <w:tcPr>
            <w:tcW w:w="1517" w:type="dxa"/>
            <w:tcBorders>
              <w:top w:val="nil"/>
              <w:left w:val="nil"/>
              <w:bottom w:val="single" w:color="FFFFFF" w:sz="12" w:space="0"/>
              <w:right w:val="single" w:color="FFFFFF" w:sz="4" w:space="0"/>
            </w:tcBorders>
            <w:shd w:val="clear" w:color="4874CB" w:fill="4874CB"/>
            <w:vAlign w:val="center"/>
          </w:tcPr>
          <w:p w14:paraId="2C2AA6F4">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Style w:val="41"/>
                <w:rFonts w:hint="eastAsia" w:ascii="仿宋_GB2312" w:hAnsi="仿宋_GB2312" w:eastAsia="仿宋_GB2312" w:cs="仿宋_GB2312"/>
                <w:sz w:val="21"/>
                <w:szCs w:val="21"/>
                <w:lang w:val="en-US" w:eastAsia="zh-CN" w:bidi="ar"/>
              </w:rPr>
              <w:t>年份</w:t>
            </w:r>
          </w:p>
        </w:tc>
        <w:tc>
          <w:tcPr>
            <w:tcW w:w="1517" w:type="dxa"/>
            <w:tcBorders>
              <w:top w:val="nil"/>
              <w:left w:val="single" w:color="FFFFFF" w:sz="4" w:space="0"/>
              <w:bottom w:val="single" w:color="FFFFFF" w:sz="12" w:space="0"/>
              <w:right w:val="single" w:color="FFFFFF" w:sz="4" w:space="0"/>
            </w:tcBorders>
            <w:shd w:val="clear" w:color="4874CB" w:fill="4874CB"/>
            <w:vAlign w:val="center"/>
          </w:tcPr>
          <w:p w14:paraId="5DB05A57">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Style w:val="41"/>
                <w:rFonts w:hint="eastAsia" w:ascii="仿宋_GB2312" w:hAnsi="仿宋_GB2312" w:eastAsia="仿宋_GB2312" w:cs="仿宋_GB2312"/>
                <w:sz w:val="21"/>
                <w:szCs w:val="21"/>
                <w:lang w:val="en-US" w:eastAsia="zh-CN" w:bidi="ar"/>
              </w:rPr>
              <w:t>在校生数</w:t>
            </w:r>
          </w:p>
        </w:tc>
        <w:tc>
          <w:tcPr>
            <w:tcW w:w="1517" w:type="dxa"/>
            <w:tcBorders>
              <w:top w:val="nil"/>
              <w:left w:val="single" w:color="FFFFFF" w:sz="4" w:space="0"/>
              <w:bottom w:val="single" w:color="FFFFFF" w:sz="12" w:space="0"/>
              <w:right w:val="single" w:color="FFFFFF" w:sz="4" w:space="0"/>
            </w:tcBorders>
            <w:shd w:val="clear" w:color="4874CB" w:fill="4874CB"/>
            <w:vAlign w:val="center"/>
          </w:tcPr>
          <w:p w14:paraId="7EFAA673">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Style w:val="41"/>
                <w:rFonts w:hint="eastAsia" w:ascii="仿宋_GB2312" w:hAnsi="仿宋_GB2312" w:eastAsia="仿宋_GB2312" w:cs="仿宋_GB2312"/>
                <w:sz w:val="21"/>
                <w:szCs w:val="21"/>
                <w:lang w:val="en-US" w:eastAsia="zh-CN" w:bidi="ar"/>
              </w:rPr>
              <w:t>当年招生数</w:t>
            </w:r>
          </w:p>
        </w:tc>
        <w:tc>
          <w:tcPr>
            <w:tcW w:w="1517" w:type="dxa"/>
            <w:tcBorders>
              <w:top w:val="nil"/>
              <w:left w:val="single" w:color="FFFFFF" w:sz="4" w:space="0"/>
              <w:bottom w:val="single" w:color="FFFFFF" w:sz="12" w:space="0"/>
              <w:right w:val="single" w:color="FFFFFF" w:sz="4" w:space="0"/>
            </w:tcBorders>
            <w:shd w:val="clear" w:color="4874CB" w:fill="4874CB"/>
            <w:vAlign w:val="center"/>
          </w:tcPr>
          <w:p w14:paraId="6283A12F">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Style w:val="41"/>
                <w:rFonts w:hint="eastAsia" w:ascii="仿宋_GB2312" w:hAnsi="仿宋_GB2312" w:eastAsia="仿宋_GB2312" w:cs="仿宋_GB2312"/>
                <w:sz w:val="21"/>
                <w:szCs w:val="21"/>
                <w:lang w:val="en-US" w:eastAsia="zh-CN" w:bidi="ar"/>
              </w:rPr>
              <w:t>当年普高招生数</w:t>
            </w:r>
          </w:p>
        </w:tc>
        <w:tc>
          <w:tcPr>
            <w:tcW w:w="2129" w:type="dxa"/>
            <w:tcBorders>
              <w:top w:val="nil"/>
              <w:left w:val="single" w:color="FFFFFF" w:sz="4" w:space="0"/>
              <w:bottom w:val="single" w:color="FFFFFF" w:sz="12" w:space="0"/>
              <w:right w:val="nil"/>
            </w:tcBorders>
            <w:shd w:val="clear" w:color="4874CB" w:fill="4874CB"/>
            <w:vAlign w:val="center"/>
          </w:tcPr>
          <w:p w14:paraId="30E34FD3">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Style w:val="41"/>
                <w:rFonts w:hint="eastAsia" w:ascii="仿宋_GB2312" w:hAnsi="仿宋_GB2312" w:eastAsia="仿宋_GB2312" w:cs="仿宋_GB2312"/>
                <w:sz w:val="21"/>
                <w:szCs w:val="21"/>
                <w:lang w:val="en-US" w:eastAsia="zh-CN" w:bidi="ar"/>
              </w:rPr>
              <w:t>中职招生占比</w:t>
            </w:r>
          </w:p>
        </w:tc>
      </w:tr>
      <w:tr w14:paraId="2BACE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trPr>
        <w:tc>
          <w:tcPr>
            <w:tcW w:w="1517" w:type="dxa"/>
            <w:tcBorders>
              <w:top w:val="single" w:color="FFFFFF" w:sz="12" w:space="0"/>
              <w:left w:val="nil"/>
              <w:bottom w:val="single" w:color="FFFFFF" w:sz="4" w:space="0"/>
              <w:right w:val="single" w:color="FFFFFF" w:sz="4" w:space="0"/>
            </w:tcBorders>
            <w:shd w:val="clear" w:color="B5C6EA" w:fill="B5C6EA"/>
            <w:vAlign w:val="center"/>
          </w:tcPr>
          <w:p w14:paraId="1E28701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2020</w:t>
            </w:r>
          </w:p>
        </w:tc>
        <w:tc>
          <w:tcPr>
            <w:tcW w:w="1517" w:type="dxa"/>
            <w:tcBorders>
              <w:top w:val="single" w:color="FFFFFF" w:sz="12" w:space="0"/>
              <w:left w:val="single" w:color="FFFFFF" w:sz="4" w:space="0"/>
              <w:bottom w:val="single" w:color="FFFFFF" w:sz="4" w:space="0"/>
              <w:right w:val="single" w:color="FFFFFF" w:sz="4" w:space="0"/>
            </w:tcBorders>
            <w:shd w:val="clear" w:color="B5C6EA" w:fill="B5C6EA"/>
            <w:vAlign w:val="center"/>
          </w:tcPr>
          <w:p w14:paraId="56236E4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47839</w:t>
            </w:r>
          </w:p>
        </w:tc>
        <w:tc>
          <w:tcPr>
            <w:tcW w:w="1517" w:type="dxa"/>
            <w:tcBorders>
              <w:top w:val="single" w:color="FFFFFF" w:sz="12" w:space="0"/>
              <w:left w:val="single" w:color="FFFFFF" w:sz="4" w:space="0"/>
              <w:bottom w:val="single" w:color="FFFFFF" w:sz="4" w:space="0"/>
              <w:right w:val="single" w:color="FFFFFF" w:sz="4" w:space="0"/>
            </w:tcBorders>
            <w:shd w:val="clear" w:color="B5C6EA" w:fill="B5C6EA"/>
            <w:vAlign w:val="center"/>
          </w:tcPr>
          <w:p w14:paraId="1EA2117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19611</w:t>
            </w:r>
          </w:p>
        </w:tc>
        <w:tc>
          <w:tcPr>
            <w:tcW w:w="1517" w:type="dxa"/>
            <w:tcBorders>
              <w:top w:val="single" w:color="FFFFFF" w:sz="12" w:space="0"/>
              <w:left w:val="single" w:color="FFFFFF" w:sz="4" w:space="0"/>
              <w:bottom w:val="single" w:color="FFFFFF" w:sz="4" w:space="0"/>
              <w:right w:val="single" w:color="FFFFFF" w:sz="4" w:space="0"/>
            </w:tcBorders>
            <w:shd w:val="clear" w:color="B5C6EA" w:fill="B5C6EA"/>
            <w:vAlign w:val="center"/>
          </w:tcPr>
          <w:p w14:paraId="52B8F03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38852</w:t>
            </w:r>
          </w:p>
        </w:tc>
        <w:tc>
          <w:tcPr>
            <w:tcW w:w="2129" w:type="dxa"/>
            <w:tcBorders>
              <w:top w:val="single" w:color="FFFFFF" w:sz="12" w:space="0"/>
              <w:left w:val="single" w:color="FFFFFF" w:sz="4" w:space="0"/>
              <w:bottom w:val="single" w:color="FFFFFF" w:sz="4" w:space="0"/>
              <w:right w:val="nil"/>
            </w:tcBorders>
            <w:shd w:val="clear" w:color="B5C6EA" w:fill="B5C6EA"/>
            <w:vAlign w:val="center"/>
          </w:tcPr>
          <w:p w14:paraId="532EA3C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33.54%</w:t>
            </w:r>
          </w:p>
        </w:tc>
      </w:tr>
      <w:tr w14:paraId="1CE15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1517" w:type="dxa"/>
            <w:tcBorders>
              <w:top w:val="single" w:color="FFFFFF" w:sz="4" w:space="0"/>
              <w:left w:val="nil"/>
              <w:bottom w:val="single" w:color="FFFFFF" w:sz="4" w:space="0"/>
              <w:right w:val="single" w:color="FFFFFF" w:sz="4" w:space="0"/>
            </w:tcBorders>
            <w:shd w:val="clear" w:color="D9E1F4" w:fill="D9E1F4"/>
            <w:vAlign w:val="center"/>
          </w:tcPr>
          <w:p w14:paraId="37E6856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2021</w:t>
            </w:r>
          </w:p>
        </w:tc>
        <w:tc>
          <w:tcPr>
            <w:tcW w:w="1517"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0AA3E48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60405</w:t>
            </w:r>
          </w:p>
        </w:tc>
        <w:tc>
          <w:tcPr>
            <w:tcW w:w="1517"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20F2B72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25413</w:t>
            </w:r>
          </w:p>
        </w:tc>
        <w:tc>
          <w:tcPr>
            <w:tcW w:w="1517"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2B516AA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39990</w:t>
            </w:r>
          </w:p>
        </w:tc>
        <w:tc>
          <w:tcPr>
            <w:tcW w:w="2129" w:type="dxa"/>
            <w:tcBorders>
              <w:top w:val="single" w:color="FFFFFF" w:sz="4" w:space="0"/>
              <w:left w:val="single" w:color="FFFFFF" w:sz="4" w:space="0"/>
              <w:bottom w:val="single" w:color="FFFFFF" w:sz="4" w:space="0"/>
              <w:right w:val="nil"/>
            </w:tcBorders>
            <w:shd w:val="clear" w:color="D9E1F4" w:fill="D9E1F4"/>
            <w:vAlign w:val="center"/>
          </w:tcPr>
          <w:p w14:paraId="181F973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39%</w:t>
            </w:r>
          </w:p>
        </w:tc>
      </w:tr>
      <w:tr w14:paraId="6A9E2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4E4A00B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2022</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B1D805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66852</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40C929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22818</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A4FECF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42293</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73ECA5D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35.04%</w:t>
            </w:r>
          </w:p>
        </w:tc>
      </w:tr>
      <w:tr w14:paraId="68C73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0" w:type="auto"/>
            <w:tcBorders>
              <w:top w:val="single" w:color="FFFFFF" w:sz="4" w:space="0"/>
              <w:left w:val="nil"/>
              <w:bottom w:val="nil"/>
              <w:right w:val="single" w:color="FFFFFF" w:sz="4" w:space="0"/>
            </w:tcBorders>
            <w:shd w:val="clear" w:color="D9E1F4" w:fill="D9E1F4"/>
            <w:noWrap/>
            <w:vAlign w:val="center"/>
          </w:tcPr>
          <w:p w14:paraId="5EA3C4C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2023</w:t>
            </w:r>
          </w:p>
        </w:tc>
        <w:tc>
          <w:tcPr>
            <w:tcW w:w="0" w:type="auto"/>
            <w:tcBorders>
              <w:top w:val="single" w:color="FFFFFF" w:sz="4" w:space="0"/>
              <w:left w:val="single" w:color="FFFFFF" w:sz="4" w:space="0"/>
              <w:bottom w:val="nil"/>
              <w:right w:val="single" w:color="FFFFFF" w:sz="4" w:space="0"/>
            </w:tcBorders>
            <w:shd w:val="clear" w:color="D9E1F4" w:fill="D9E1F4"/>
            <w:noWrap/>
            <w:vAlign w:val="center"/>
          </w:tcPr>
          <w:p w14:paraId="66FE20E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66839</w:t>
            </w:r>
          </w:p>
        </w:tc>
        <w:tc>
          <w:tcPr>
            <w:tcW w:w="0" w:type="auto"/>
            <w:tcBorders>
              <w:top w:val="single" w:color="FFFFFF" w:sz="4" w:space="0"/>
              <w:left w:val="single" w:color="FFFFFF" w:sz="4" w:space="0"/>
              <w:bottom w:val="nil"/>
              <w:right w:val="single" w:color="FFFFFF" w:sz="4" w:space="0"/>
            </w:tcBorders>
            <w:shd w:val="clear" w:color="D9E1F4" w:fill="D9E1F4"/>
            <w:noWrap/>
            <w:vAlign w:val="center"/>
          </w:tcPr>
          <w:p w14:paraId="21D321D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20586</w:t>
            </w:r>
          </w:p>
        </w:tc>
        <w:tc>
          <w:tcPr>
            <w:tcW w:w="0" w:type="auto"/>
            <w:tcBorders>
              <w:top w:val="single" w:color="FFFFFF" w:sz="4" w:space="0"/>
              <w:left w:val="single" w:color="FFFFFF" w:sz="4" w:space="0"/>
              <w:bottom w:val="nil"/>
              <w:right w:val="single" w:color="FFFFFF" w:sz="4" w:space="0"/>
            </w:tcBorders>
            <w:shd w:val="clear" w:color="D9E1F4" w:fill="D9E1F4"/>
            <w:noWrap/>
            <w:vAlign w:val="center"/>
          </w:tcPr>
          <w:p w14:paraId="07628BD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39454</w:t>
            </w:r>
          </w:p>
        </w:tc>
        <w:tc>
          <w:tcPr>
            <w:tcW w:w="0" w:type="auto"/>
            <w:tcBorders>
              <w:top w:val="single" w:color="FFFFFF" w:sz="4" w:space="0"/>
              <w:left w:val="single" w:color="FFFFFF" w:sz="4" w:space="0"/>
              <w:bottom w:val="nil"/>
              <w:right w:val="nil"/>
            </w:tcBorders>
            <w:shd w:val="clear" w:color="D9E1F4" w:fill="D9E1F4"/>
            <w:noWrap/>
            <w:vAlign w:val="center"/>
          </w:tcPr>
          <w:p w14:paraId="738972D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34.29%</w:t>
            </w:r>
          </w:p>
        </w:tc>
      </w:tr>
    </w:tbl>
    <w:p w14:paraId="57A8992A">
      <w:pPr>
        <w:pStyle w:val="16"/>
        <w:ind w:left="0" w:leftChars="0" w:firstLine="0" w:firstLineChars="0"/>
        <w:rPr>
          <w:rFonts w:hint="default"/>
          <w:lang w:val="en-US" w:eastAsia="zh-CN"/>
        </w:rPr>
      </w:pPr>
    </w:p>
    <w:p w14:paraId="3729334B">
      <w:pPr>
        <w:pStyle w:val="36"/>
        <w:bidi w:val="0"/>
        <w:rPr>
          <w:rFonts w:hint="eastAsia"/>
          <w:lang w:val="en-US" w:eastAsia="zh-CN"/>
        </w:rPr>
      </w:pPr>
      <w:bookmarkStart w:id="25" w:name="_Toc25480"/>
      <w:bookmarkStart w:id="26" w:name="_Toc19"/>
      <w:bookmarkStart w:id="27" w:name="_Toc15419"/>
      <w:r>
        <w:rPr>
          <w:rFonts w:hint="eastAsia"/>
          <w:lang w:val="en-US" w:eastAsia="zh-CN"/>
        </w:rPr>
        <w:t>1.2 设施设备</w:t>
      </w:r>
      <w:bookmarkEnd w:id="25"/>
      <w:bookmarkEnd w:id="26"/>
      <w:bookmarkEnd w:id="27"/>
    </w:p>
    <w:p w14:paraId="02B6661B">
      <w:pPr>
        <w:pStyle w:val="16"/>
        <w:rPr>
          <w:rFonts w:hint="default"/>
          <w:lang w:val="en-US" w:eastAsia="zh-CN"/>
        </w:rPr>
      </w:pPr>
      <w:r>
        <w:rPr>
          <w:rFonts w:hint="default"/>
          <w:lang w:val="en-US" w:eastAsia="zh-CN"/>
        </w:rPr>
        <w:t>202</w:t>
      </w:r>
      <w:r>
        <w:rPr>
          <w:rFonts w:hint="eastAsia"/>
          <w:lang w:val="en-US" w:eastAsia="zh-CN"/>
        </w:rPr>
        <w:t>3</w:t>
      </w:r>
      <w:r>
        <w:rPr>
          <w:rFonts w:hint="default"/>
          <w:lang w:val="en-US" w:eastAsia="zh-CN"/>
        </w:rPr>
        <w:t>年全市</w:t>
      </w:r>
      <w:r>
        <w:rPr>
          <w:rFonts w:hint="eastAsia"/>
          <w:lang w:val="en-US" w:eastAsia="zh-CN"/>
        </w:rPr>
        <w:t>中职学校</w:t>
      </w:r>
      <w:r>
        <w:rPr>
          <w:rFonts w:hint="default"/>
          <w:lang w:val="en-US" w:eastAsia="zh-CN"/>
        </w:rPr>
        <w:t>总占地面积</w:t>
      </w:r>
      <w:r>
        <w:rPr>
          <w:rFonts w:hint="eastAsia"/>
          <w:lang w:val="en-US" w:eastAsia="zh-CN"/>
        </w:rPr>
        <w:t>为2900.38</w:t>
      </w:r>
      <w:r>
        <w:rPr>
          <w:rFonts w:hint="default"/>
          <w:lang w:val="en-US" w:eastAsia="zh-CN"/>
        </w:rPr>
        <w:t>亩，总校舍建筑面积</w:t>
      </w:r>
      <w:r>
        <w:rPr>
          <w:rFonts w:hint="eastAsia"/>
          <w:lang w:val="en-US" w:eastAsia="zh-CN"/>
        </w:rPr>
        <w:t>119.47</w:t>
      </w:r>
      <w:r>
        <w:rPr>
          <w:rFonts w:hint="default"/>
          <w:lang w:val="en-US" w:eastAsia="zh-CN"/>
        </w:rPr>
        <w:t>万平方米。拥有实习实训设备价值</w:t>
      </w:r>
      <w:r>
        <w:rPr>
          <w:rFonts w:hint="eastAsia"/>
          <w:lang w:val="en-US" w:eastAsia="zh-CN"/>
        </w:rPr>
        <w:t>2.70</w:t>
      </w:r>
      <w:r>
        <w:rPr>
          <w:rFonts w:hint="default"/>
          <w:lang w:val="en-US" w:eastAsia="zh-CN"/>
        </w:rPr>
        <w:t>亿元，生均教学仪器设备值</w:t>
      </w:r>
      <w:r>
        <w:rPr>
          <w:rFonts w:hint="eastAsia"/>
          <w:lang w:val="en-US" w:eastAsia="zh-CN"/>
        </w:rPr>
        <w:t>7072</w:t>
      </w:r>
      <w:r>
        <w:rPr>
          <w:rFonts w:hint="default"/>
          <w:lang w:val="en-US" w:eastAsia="zh-CN"/>
        </w:rPr>
        <w:t>元。纸质图书</w:t>
      </w:r>
      <w:r>
        <w:rPr>
          <w:rFonts w:hint="eastAsia"/>
          <w:lang w:val="en-US" w:eastAsia="zh-CN"/>
        </w:rPr>
        <w:t>108.43</w:t>
      </w:r>
      <w:r>
        <w:rPr>
          <w:rFonts w:hint="default"/>
          <w:lang w:val="en-US" w:eastAsia="zh-CN"/>
        </w:rPr>
        <w:t>万册，电子图书</w:t>
      </w:r>
      <w:r>
        <w:rPr>
          <w:rFonts w:hint="eastAsia"/>
          <w:lang w:val="en-US" w:eastAsia="zh-CN"/>
        </w:rPr>
        <w:t>77.46</w:t>
      </w:r>
      <w:r>
        <w:rPr>
          <w:rFonts w:hint="default"/>
          <w:lang w:val="en-US" w:eastAsia="zh-CN"/>
        </w:rPr>
        <w:t>万册，生均</w:t>
      </w:r>
      <w:r>
        <w:rPr>
          <w:rFonts w:hint="eastAsia"/>
          <w:lang w:val="en-US" w:eastAsia="zh-CN"/>
        </w:rPr>
        <w:t>43.41</w:t>
      </w:r>
      <w:r>
        <w:rPr>
          <w:rFonts w:hint="default"/>
          <w:lang w:val="en-US" w:eastAsia="zh-CN"/>
        </w:rPr>
        <w:t>册。</w:t>
      </w:r>
    </w:p>
    <w:p w14:paraId="7BEB091A">
      <w:pPr>
        <w:pStyle w:val="36"/>
        <w:bidi w:val="0"/>
        <w:rPr>
          <w:rFonts w:hint="eastAsia"/>
          <w:lang w:val="en-US" w:eastAsia="zh-CN"/>
        </w:rPr>
      </w:pPr>
      <w:bookmarkStart w:id="28" w:name="_Toc18340"/>
      <w:bookmarkStart w:id="29" w:name="_Toc7014"/>
      <w:r>
        <w:rPr>
          <w:rFonts w:hint="eastAsia"/>
          <w:lang w:val="en-US" w:eastAsia="zh-CN"/>
        </w:rPr>
        <w:t>1.3 教师队伍</w:t>
      </w:r>
      <w:bookmarkEnd w:id="28"/>
      <w:bookmarkEnd w:id="29"/>
    </w:p>
    <w:p w14:paraId="3838A41E">
      <w:pPr>
        <w:pStyle w:val="16"/>
        <w:rPr>
          <w:rFonts w:hint="default"/>
          <w:lang w:val="en-US" w:eastAsia="zh-CN"/>
        </w:rPr>
      </w:pPr>
      <w:r>
        <w:rPr>
          <w:rFonts w:hint="eastAsia"/>
          <w:lang w:val="en-US" w:eastAsia="zh-CN"/>
        </w:rPr>
        <w:t>2023年，全市中职学校共有教职员工额定编制数1446人，专任教师2071人。高级专业技术职务专任教师404人，占比19.90%；思政课教师216人，体育课专任教师118人，美育课专任教师130人；共有班主任843人。</w:t>
      </w:r>
    </w:p>
    <w:p w14:paraId="182B92C1">
      <w:pPr>
        <w:pStyle w:val="16"/>
        <w:rPr>
          <w:rFonts w:hint="eastAsia"/>
          <w:lang w:val="en-US" w:eastAsia="zh-CN"/>
        </w:rPr>
      </w:pPr>
      <w:r>
        <w:rPr>
          <w:rFonts w:hint="eastAsia"/>
          <w:lang w:val="en-US" w:eastAsia="zh-CN"/>
        </w:rPr>
        <w:t>由于江西省“双师型”教师的认定标准进行了更新，本年度暂无“双师型”教师。</w:t>
      </w:r>
    </w:p>
    <w:p w14:paraId="044250BB">
      <w:pPr>
        <w:rPr>
          <w:rFonts w:hint="eastAsia"/>
          <w:lang w:val="en-US" w:eastAsia="zh-CN"/>
        </w:rPr>
      </w:pPr>
      <w:r>
        <w:rPr>
          <w:rFonts w:hint="eastAsia"/>
          <w:lang w:val="en-US" w:eastAsia="zh-CN"/>
        </w:rPr>
        <w:br w:type="page"/>
      </w:r>
    </w:p>
    <w:p w14:paraId="6E7A5567">
      <w:pPr>
        <w:pStyle w:val="15"/>
        <w:numPr>
          <w:ilvl w:val="0"/>
          <w:numId w:val="0"/>
        </w:numPr>
        <w:bidi w:val="0"/>
        <w:ind w:left="0" w:leftChars="0" w:firstLine="640" w:firstLineChars="200"/>
        <w:rPr>
          <w:rFonts w:hint="eastAsia"/>
          <w:lang w:val="en-US" w:eastAsia="zh-CN"/>
        </w:rPr>
      </w:pPr>
      <w:bookmarkStart w:id="30" w:name="_Toc2001"/>
      <w:bookmarkStart w:id="31" w:name="_Toc24840"/>
      <w:r>
        <w:rPr>
          <w:rFonts w:hint="eastAsia"/>
          <w:lang w:val="en-US" w:eastAsia="zh-CN"/>
        </w:rPr>
        <w:t>2 人才培养</w:t>
      </w:r>
      <w:bookmarkEnd w:id="30"/>
      <w:bookmarkEnd w:id="31"/>
    </w:p>
    <w:p w14:paraId="6174B579">
      <w:pPr>
        <w:pStyle w:val="36"/>
        <w:bidi w:val="0"/>
        <w:rPr>
          <w:rFonts w:hint="default"/>
          <w:lang w:val="en-US" w:eastAsia="zh-CN"/>
        </w:rPr>
      </w:pPr>
      <w:bookmarkStart w:id="32" w:name="_Toc25080"/>
      <w:r>
        <w:rPr>
          <w:rFonts w:hint="eastAsia"/>
          <w:lang w:val="en-US" w:eastAsia="zh-CN"/>
        </w:rPr>
        <w:t>2.1 专业设置</w:t>
      </w:r>
      <w:bookmarkEnd w:id="32"/>
    </w:p>
    <w:p w14:paraId="11EE5A85">
      <w:pPr>
        <w:pStyle w:val="16"/>
        <w:rPr>
          <w:rFonts w:hint="default"/>
          <w:lang w:val="en-US" w:eastAsia="zh-CN"/>
        </w:rPr>
      </w:pPr>
      <w:r>
        <w:rPr>
          <w:rFonts w:hint="default"/>
          <w:lang w:val="en-US" w:eastAsia="zh-CN"/>
        </w:rPr>
        <w:t>围绕职业教育服务地方经济社会发展，促进特色化办学，</w:t>
      </w:r>
      <w:r>
        <w:rPr>
          <w:rFonts w:hint="eastAsia"/>
          <w:lang w:val="en-US" w:eastAsia="zh-CN"/>
        </w:rPr>
        <w:t>2023年</w:t>
      </w:r>
      <w:r>
        <w:rPr>
          <w:rFonts w:hint="default"/>
          <w:lang w:val="en-US" w:eastAsia="zh-CN"/>
        </w:rPr>
        <w:t>全市中职学校专业进行了科学优化</w:t>
      </w:r>
      <w:r>
        <w:rPr>
          <w:rFonts w:hint="eastAsia"/>
          <w:lang w:val="en-US" w:eastAsia="zh-CN"/>
        </w:rPr>
        <w:t>。</w:t>
      </w:r>
      <w:r>
        <w:rPr>
          <w:rFonts w:hint="default"/>
          <w:lang w:val="en-US" w:eastAsia="zh-CN"/>
        </w:rPr>
        <w:t>2022年我市中职学校原有15个专业大类、68个专业、205个专业点。2023年经过优化后，我市现有12个专业大类、49个专业、136个专业点。新</w:t>
      </w:r>
      <w:r>
        <w:rPr>
          <w:rFonts w:hint="eastAsia"/>
          <w:lang w:val="en-US" w:eastAsia="zh-CN"/>
        </w:rPr>
        <w:t>增</w:t>
      </w:r>
      <w:r>
        <w:rPr>
          <w:rFonts w:hint="default"/>
          <w:lang w:val="en-US" w:eastAsia="zh-CN"/>
        </w:rPr>
        <w:t>江西九江科技中等专业学校、九江市卫生学校、共青中医药学校等11所学校新增了中医护理、大数据技术应用、模具制造技术等15个专业，19个专业点，涉及5个专业大类。</w:t>
      </w:r>
    </w:p>
    <w:p w14:paraId="63D6A24A">
      <w:pPr>
        <w:pStyle w:val="38"/>
        <w:bidi w:val="0"/>
        <w:rPr>
          <w:rFonts w:hint="default"/>
          <w:lang w:val="en-US" w:eastAsia="zh-CN"/>
        </w:rPr>
      </w:pPr>
      <w:bookmarkStart w:id="33" w:name="_Toc25318"/>
      <w:r>
        <w:rPr>
          <w:rFonts w:hint="eastAsia"/>
          <w:lang w:val="en-US" w:eastAsia="zh-CN"/>
        </w:rPr>
        <w:t>表4：2023年九江市中职教育招生专业一览表</w:t>
      </w:r>
      <w:bookmarkEnd w:id="33"/>
    </w:p>
    <w:tbl>
      <w:tblPr>
        <w:tblStyle w:val="13"/>
        <w:tblW w:w="0" w:type="auto"/>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005"/>
        <w:gridCol w:w="1056"/>
        <w:gridCol w:w="1686"/>
        <w:gridCol w:w="1686"/>
        <w:gridCol w:w="636"/>
      </w:tblGrid>
      <w:tr w14:paraId="12F19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cantSplit/>
          <w:trHeight w:val="680" w:hRule="atLeast"/>
          <w:tblHeader/>
        </w:trPr>
        <w:tc>
          <w:tcPr>
            <w:tcW w:w="3005" w:type="dxa"/>
            <w:tcBorders>
              <w:top w:val="nil"/>
              <w:left w:val="nil"/>
              <w:bottom w:val="single" w:color="FFFFFF" w:sz="12" w:space="0"/>
              <w:right w:val="single" w:color="FFFFFF" w:sz="4" w:space="0"/>
            </w:tcBorders>
            <w:shd w:val="clear" w:color="4874CB" w:fill="4874CB"/>
            <w:vAlign w:val="center"/>
          </w:tcPr>
          <w:p w14:paraId="17BC8E8A">
            <w:pPr>
              <w:keepNext w:val="0"/>
              <w:keepLines w:val="0"/>
              <w:widowControl/>
              <w:suppressLineNumbers w:val="0"/>
              <w:jc w:val="center"/>
              <w:textAlignment w:val="center"/>
              <w:rPr>
                <w:rFonts w:hint="eastAsia" w:ascii="仿宋_GB2312" w:hAnsi="仿宋_GB2312" w:eastAsia="仿宋_GB2312" w:cs="仿宋_GB2312"/>
                <w:b/>
                <w:bCs/>
                <w:i w:val="0"/>
                <w:iCs w:val="0"/>
                <w:color w:val="FFFFFF" w:themeColor="background1"/>
                <w:sz w:val="21"/>
                <w:szCs w:val="21"/>
                <w:u w:val="none"/>
                <w14:textFill>
                  <w14:solidFill>
                    <w14:schemeClr w14:val="bg1"/>
                  </w14:solidFill>
                </w14:textFill>
              </w:rPr>
            </w:pPr>
            <w:r>
              <w:rPr>
                <w:rFonts w:hint="eastAsia" w:ascii="仿宋_GB2312" w:hAnsi="仿宋_GB2312" w:eastAsia="仿宋_GB2312" w:cs="仿宋_GB2312"/>
                <w:i w:val="0"/>
                <w:iCs w:val="0"/>
                <w:color w:val="FFFFFF" w:themeColor="background1"/>
                <w:kern w:val="0"/>
                <w:sz w:val="21"/>
                <w:szCs w:val="21"/>
                <w:u w:val="none"/>
                <w:lang w:val="en-US" w:eastAsia="zh-CN" w:bidi="ar"/>
                <w14:textFill>
                  <w14:solidFill>
                    <w14:schemeClr w14:val="bg1"/>
                  </w14:solidFill>
                </w14:textFill>
              </w:rPr>
              <w:t>专业名称</w:t>
            </w:r>
          </w:p>
        </w:tc>
        <w:tc>
          <w:tcPr>
            <w:tcW w:w="0" w:type="auto"/>
            <w:tcBorders>
              <w:top w:val="nil"/>
              <w:left w:val="single" w:color="FFFFFF" w:sz="4" w:space="0"/>
              <w:bottom w:val="single" w:color="FFFFFF" w:sz="12" w:space="0"/>
              <w:right w:val="single" w:color="FFFFFF" w:sz="4" w:space="0"/>
            </w:tcBorders>
            <w:shd w:val="clear" w:color="4874CB" w:fill="4874CB"/>
            <w:vAlign w:val="center"/>
          </w:tcPr>
          <w:p w14:paraId="73873390">
            <w:pPr>
              <w:keepNext w:val="0"/>
              <w:keepLines w:val="0"/>
              <w:widowControl/>
              <w:suppressLineNumbers w:val="0"/>
              <w:jc w:val="center"/>
              <w:textAlignment w:val="center"/>
              <w:rPr>
                <w:rFonts w:hint="eastAsia" w:ascii="仿宋_GB2312" w:hAnsi="仿宋_GB2312" w:eastAsia="仿宋_GB2312" w:cs="仿宋_GB2312"/>
                <w:b/>
                <w:bCs/>
                <w:i w:val="0"/>
                <w:iCs w:val="0"/>
                <w:color w:val="FFFFFF" w:themeColor="background1"/>
                <w:sz w:val="21"/>
                <w:szCs w:val="21"/>
                <w:u w:val="none"/>
                <w14:textFill>
                  <w14:solidFill>
                    <w14:schemeClr w14:val="bg1"/>
                  </w14:solidFill>
                </w14:textFill>
              </w:rPr>
            </w:pPr>
            <w:r>
              <w:rPr>
                <w:rFonts w:hint="eastAsia" w:ascii="仿宋_GB2312" w:hAnsi="仿宋_GB2312" w:eastAsia="仿宋_GB2312" w:cs="仿宋_GB2312"/>
                <w:i w:val="0"/>
                <w:iCs w:val="0"/>
                <w:color w:val="FFFFFF" w:themeColor="background1"/>
                <w:kern w:val="0"/>
                <w:sz w:val="21"/>
                <w:szCs w:val="21"/>
                <w:u w:val="none"/>
                <w:lang w:val="en-US" w:eastAsia="zh-CN" w:bidi="ar"/>
                <w14:textFill>
                  <w14:solidFill>
                    <w14:schemeClr w14:val="bg1"/>
                  </w14:solidFill>
                </w14:textFill>
              </w:rPr>
              <w:t>专业代码</w:t>
            </w:r>
          </w:p>
        </w:tc>
        <w:tc>
          <w:tcPr>
            <w:tcW w:w="0" w:type="auto"/>
            <w:tcBorders>
              <w:top w:val="nil"/>
              <w:left w:val="single" w:color="FFFFFF" w:sz="4" w:space="0"/>
              <w:bottom w:val="single" w:color="FFFFFF" w:sz="12" w:space="0"/>
              <w:right w:val="single" w:color="FFFFFF" w:sz="4" w:space="0"/>
            </w:tcBorders>
            <w:shd w:val="clear" w:color="4874CB" w:fill="4874CB"/>
            <w:vAlign w:val="center"/>
          </w:tcPr>
          <w:p w14:paraId="2EFB9AD0">
            <w:pPr>
              <w:keepNext w:val="0"/>
              <w:keepLines w:val="0"/>
              <w:widowControl/>
              <w:suppressLineNumbers w:val="0"/>
              <w:jc w:val="center"/>
              <w:textAlignment w:val="center"/>
              <w:rPr>
                <w:rFonts w:hint="eastAsia" w:ascii="仿宋_GB2312" w:hAnsi="仿宋_GB2312" w:eastAsia="仿宋_GB2312" w:cs="仿宋_GB2312"/>
                <w:b/>
                <w:bCs/>
                <w:i w:val="0"/>
                <w:iCs w:val="0"/>
                <w:color w:val="FFFFFF" w:themeColor="background1"/>
                <w:sz w:val="21"/>
                <w:szCs w:val="21"/>
                <w:u w:val="none"/>
                <w14:textFill>
                  <w14:solidFill>
                    <w14:schemeClr w14:val="bg1"/>
                  </w14:solidFill>
                </w14:textFill>
              </w:rPr>
            </w:pPr>
            <w:r>
              <w:rPr>
                <w:rFonts w:hint="eastAsia" w:ascii="仿宋_GB2312" w:hAnsi="仿宋_GB2312" w:eastAsia="仿宋_GB2312" w:cs="仿宋_GB2312"/>
                <w:i w:val="0"/>
                <w:iCs w:val="0"/>
                <w:color w:val="FFFFFF" w:themeColor="background1"/>
                <w:kern w:val="0"/>
                <w:sz w:val="21"/>
                <w:szCs w:val="21"/>
                <w:u w:val="none"/>
                <w:lang w:val="en-US" w:eastAsia="zh-CN" w:bidi="ar"/>
                <w14:textFill>
                  <w14:solidFill>
                    <w14:schemeClr w14:val="bg1"/>
                  </w14:solidFill>
                </w14:textFill>
              </w:rPr>
              <w:t>专业大类</w:t>
            </w:r>
          </w:p>
        </w:tc>
        <w:tc>
          <w:tcPr>
            <w:tcW w:w="0" w:type="auto"/>
            <w:tcBorders>
              <w:top w:val="nil"/>
              <w:left w:val="single" w:color="FFFFFF" w:sz="4" w:space="0"/>
              <w:bottom w:val="single" w:color="FFFFFF" w:sz="12" w:space="0"/>
              <w:right w:val="single" w:color="FFFFFF" w:sz="4" w:space="0"/>
            </w:tcBorders>
            <w:shd w:val="clear" w:color="4874CB" w:fill="4874CB"/>
            <w:vAlign w:val="center"/>
          </w:tcPr>
          <w:p w14:paraId="1A415AC8">
            <w:pPr>
              <w:keepNext w:val="0"/>
              <w:keepLines w:val="0"/>
              <w:widowControl/>
              <w:suppressLineNumbers w:val="0"/>
              <w:jc w:val="center"/>
              <w:textAlignment w:val="center"/>
              <w:rPr>
                <w:rFonts w:hint="eastAsia" w:ascii="仿宋_GB2312" w:hAnsi="仿宋_GB2312" w:eastAsia="仿宋_GB2312" w:cs="仿宋_GB2312"/>
                <w:b/>
                <w:bCs/>
                <w:i w:val="0"/>
                <w:iCs w:val="0"/>
                <w:color w:val="FFFFFF" w:themeColor="background1"/>
                <w:sz w:val="21"/>
                <w:szCs w:val="21"/>
                <w:u w:val="none"/>
                <w14:textFill>
                  <w14:solidFill>
                    <w14:schemeClr w14:val="bg1"/>
                  </w14:solidFill>
                </w14:textFill>
              </w:rPr>
            </w:pPr>
            <w:r>
              <w:rPr>
                <w:rFonts w:hint="eastAsia" w:ascii="仿宋_GB2312" w:hAnsi="仿宋_GB2312" w:eastAsia="仿宋_GB2312" w:cs="仿宋_GB2312"/>
                <w:i w:val="0"/>
                <w:iCs w:val="0"/>
                <w:color w:val="FFFFFF" w:themeColor="background1"/>
                <w:kern w:val="0"/>
                <w:sz w:val="21"/>
                <w:szCs w:val="21"/>
                <w:u w:val="none"/>
                <w:lang w:val="en-US" w:eastAsia="zh-CN" w:bidi="ar"/>
                <w14:textFill>
                  <w14:solidFill>
                    <w14:schemeClr w14:val="bg1"/>
                  </w14:solidFill>
                </w14:textFill>
              </w:rPr>
              <w:t>专业类</w:t>
            </w:r>
          </w:p>
        </w:tc>
        <w:tc>
          <w:tcPr>
            <w:tcW w:w="0" w:type="auto"/>
            <w:tcBorders>
              <w:top w:val="nil"/>
              <w:left w:val="single" w:color="FFFFFF" w:sz="4" w:space="0"/>
              <w:bottom w:val="single" w:color="FFFFFF" w:sz="12" w:space="0"/>
              <w:right w:val="nil"/>
            </w:tcBorders>
            <w:shd w:val="clear" w:color="4874CB" w:fill="4874CB"/>
            <w:vAlign w:val="center"/>
          </w:tcPr>
          <w:p w14:paraId="21204266">
            <w:pPr>
              <w:keepNext w:val="0"/>
              <w:keepLines w:val="0"/>
              <w:widowControl/>
              <w:suppressLineNumbers w:val="0"/>
              <w:jc w:val="center"/>
              <w:textAlignment w:val="center"/>
              <w:rPr>
                <w:rFonts w:hint="eastAsia" w:ascii="仿宋_GB2312" w:hAnsi="仿宋_GB2312" w:eastAsia="仿宋_GB2312" w:cs="仿宋_GB2312"/>
                <w:b/>
                <w:bCs/>
                <w:i w:val="0"/>
                <w:iCs w:val="0"/>
                <w:color w:val="FFFFFF" w:themeColor="background1"/>
                <w:sz w:val="21"/>
                <w:szCs w:val="21"/>
                <w:u w:val="none"/>
                <w14:textFill>
                  <w14:solidFill>
                    <w14:schemeClr w14:val="bg1"/>
                  </w14:solidFill>
                </w14:textFill>
              </w:rPr>
            </w:pPr>
            <w:r>
              <w:rPr>
                <w:rFonts w:hint="eastAsia" w:ascii="仿宋_GB2312" w:hAnsi="仿宋_GB2312" w:eastAsia="仿宋_GB2312" w:cs="仿宋_GB2312"/>
                <w:i w:val="0"/>
                <w:iCs w:val="0"/>
                <w:color w:val="FFFFFF" w:themeColor="background1"/>
                <w:kern w:val="0"/>
                <w:sz w:val="21"/>
                <w:szCs w:val="21"/>
                <w:u w:val="none"/>
                <w:lang w:val="en-US" w:eastAsia="zh-CN" w:bidi="ar"/>
                <w14:textFill>
                  <w14:solidFill>
                    <w14:schemeClr w14:val="bg1"/>
                  </w14:solidFill>
                </w14:textFill>
              </w:rPr>
              <w:t>学制</w:t>
            </w:r>
          </w:p>
        </w:tc>
      </w:tr>
      <w:tr w14:paraId="34524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12" w:space="0"/>
              <w:left w:val="nil"/>
              <w:bottom w:val="single" w:color="FFFFFF" w:sz="4" w:space="0"/>
              <w:right w:val="single" w:color="FFFFFF" w:sz="4" w:space="0"/>
            </w:tcBorders>
            <w:shd w:val="clear" w:color="B5C6EA" w:fill="B5C6EA"/>
            <w:vAlign w:val="center"/>
          </w:tcPr>
          <w:p w14:paraId="3E57B7B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茶叶生产与加工</w:t>
            </w:r>
          </w:p>
        </w:tc>
        <w:tc>
          <w:tcPr>
            <w:tcW w:w="0" w:type="auto"/>
            <w:tcBorders>
              <w:top w:val="single" w:color="FFFFFF" w:sz="12" w:space="0"/>
              <w:left w:val="single" w:color="FFFFFF" w:sz="4" w:space="0"/>
              <w:bottom w:val="single" w:color="FFFFFF" w:sz="4" w:space="0"/>
              <w:right w:val="single" w:color="FFFFFF" w:sz="4" w:space="0"/>
            </w:tcBorders>
            <w:shd w:val="clear" w:color="B5C6EA" w:fill="B5C6EA"/>
            <w:vAlign w:val="center"/>
          </w:tcPr>
          <w:p w14:paraId="36E69D2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610107</w:t>
            </w:r>
          </w:p>
        </w:tc>
        <w:tc>
          <w:tcPr>
            <w:tcW w:w="0" w:type="auto"/>
            <w:tcBorders>
              <w:top w:val="single" w:color="FFFFFF" w:sz="12" w:space="0"/>
              <w:left w:val="single" w:color="FFFFFF" w:sz="4" w:space="0"/>
              <w:bottom w:val="single" w:color="FFFFFF" w:sz="4" w:space="0"/>
              <w:right w:val="single" w:color="FFFFFF" w:sz="4" w:space="0"/>
            </w:tcBorders>
            <w:shd w:val="clear" w:color="B5C6EA" w:fill="B5C6EA"/>
            <w:vAlign w:val="center"/>
          </w:tcPr>
          <w:p w14:paraId="552AE9F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农林牧渔大类</w:t>
            </w:r>
          </w:p>
        </w:tc>
        <w:tc>
          <w:tcPr>
            <w:tcW w:w="0" w:type="auto"/>
            <w:tcBorders>
              <w:top w:val="single" w:color="FFFFFF" w:sz="12" w:space="0"/>
              <w:left w:val="single" w:color="FFFFFF" w:sz="4" w:space="0"/>
              <w:bottom w:val="single" w:color="FFFFFF" w:sz="4" w:space="0"/>
              <w:right w:val="single" w:color="FFFFFF" w:sz="4" w:space="0"/>
            </w:tcBorders>
            <w:shd w:val="clear" w:color="B5C6EA" w:fill="B5C6EA"/>
            <w:vAlign w:val="center"/>
          </w:tcPr>
          <w:p w14:paraId="380C7DD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农业类</w:t>
            </w:r>
          </w:p>
        </w:tc>
        <w:tc>
          <w:tcPr>
            <w:tcW w:w="0" w:type="auto"/>
            <w:tcBorders>
              <w:top w:val="single" w:color="FFFFFF" w:sz="12" w:space="0"/>
              <w:left w:val="single" w:color="FFFFFF" w:sz="4" w:space="0"/>
              <w:bottom w:val="single" w:color="FFFFFF" w:sz="4" w:space="0"/>
              <w:right w:val="nil"/>
            </w:tcBorders>
            <w:shd w:val="clear" w:color="B5C6EA" w:fill="B5C6EA"/>
            <w:vAlign w:val="center"/>
          </w:tcPr>
          <w:p w14:paraId="4CC465E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2440F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14:paraId="2D426DB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建筑装饰技术</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2BFA0E2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640102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3FF241B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土木建筑大类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058FBDC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建筑设计类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14:paraId="7F44CD1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18E10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14:paraId="4AD3DDA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建筑智能化设备安装与运维</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0267483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640401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31659DF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土木建筑大类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15044AE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建筑设备类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14:paraId="59ED6EA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19AE7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14:paraId="2C28AA3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建筑工程造价</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30385BB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640501</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213DEFF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土木建筑大类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5178066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建设工程管理类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14:paraId="1AF516A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2B297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14:paraId="175AC2D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数控技术应用</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6BA204B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660103</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1D7108A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装备制造大类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32FFCD2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机械设计制造类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14:paraId="33DF7E0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6A6B0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14:paraId="511688D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模具制造技术</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724AA5F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660108</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64D1FB2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装备制造大类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42C27C6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机械设计制造类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14:paraId="62DE722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31AB4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14:paraId="3FC400A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智能设备运行与维护</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35FA024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660201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3EDF577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装备制造大类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33BFC04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机电设备类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14:paraId="7C14F22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73D49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14:paraId="0001A52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机电技术应用</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3BF4733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660301</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7FF4AE0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装备制造大类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4223904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自动化类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14:paraId="67DA234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22FEA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14:paraId="1A9D0A9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电气设备运行与控制</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0790BC7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660302</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1C8059B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装备制造大类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19774A9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自动化类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14:paraId="2AD6F37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7B661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14:paraId="57FD9F8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工业机器人技术应用</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3A2F2DE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660303</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64A0176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装备制造大类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044242B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自动化类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14:paraId="25B74C4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0712C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14:paraId="2892E1F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无人机操控与维护</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07E92FA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660601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20EA877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装备制造大类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1E063BA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航空装备类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14:paraId="5068F43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0A784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14:paraId="1B52873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汽车制造与检测</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09AAF66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660701</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6FF0966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装备制造大类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6A91994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汽车制造类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14:paraId="45D2E16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5239D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14:paraId="0885769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化学工艺</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6BA4EC4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670201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7635BA9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生物与化工大类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4724183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化工技术类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14:paraId="176FBF5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4B825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14:paraId="006F489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服装设计与工艺</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763B462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680402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1DFC817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轻工纺织大类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0202C9B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纺织服装类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14:paraId="6B26B3B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7B96C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14:paraId="4D2D4EB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高速铁路乘务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44E7597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700108</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0F0312C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交通运输大类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4E0E13D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铁道运输类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14:paraId="2EEE039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3C93C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14:paraId="1231D1A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汽车运用与维修</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79B03DA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700206</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546EF18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交通运输大类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5E2C486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道路运输类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14:paraId="68FAB60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6B649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14:paraId="6B59B41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新能源汽车运用与维修</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4157E07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700209</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5CC4B5A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交通运输大类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50E6A3E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道路运输类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14:paraId="09C2471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07C57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14:paraId="725AD6C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航空服务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2F0A1BA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700402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6739E98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交通运输大类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67B66FB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航空运输类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14:paraId="359E3F8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22ABC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14:paraId="58A93DB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城市轨道交通运营服务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04F3ECA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700604</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6019EB7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交通运输大类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348D0B3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城市轨道交通类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14:paraId="2C9602B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5BD6E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14:paraId="36430F0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电子信息技术</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7E30D67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710101</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111697D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电子与信息大类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1FD56FD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电子信息类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14:paraId="56B3AB4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7E946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14:paraId="2BE4E63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物联网技术应用</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70CDFE3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710102</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0047FF5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电子与信息大类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7522529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电子信息类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14:paraId="64C057E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23710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14:paraId="54D031E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电子技术应用</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208A2B8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710103</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26E5500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电子与信息大类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02527E0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电子信息类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14:paraId="066485B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47280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14:paraId="2471895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计算机应用</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57A3DCD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710201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6A69080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电子与信息大类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12CC220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计算机类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14:paraId="535BBD7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2C558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14:paraId="19B5046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计算机网络技术</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3D09260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710202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430F87B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电子与信息大类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23EEE24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计算机类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14:paraId="0C676AC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25699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14:paraId="4C97BB1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软件与信息服务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15498EB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710203</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7010162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电子与信息大类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2E784FC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计算机类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14:paraId="1BC5427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06215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14:paraId="16C95D6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数字媒体技术应用</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0987F4E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710204</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14ED923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电子与信息大类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7E5CFC5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计算机类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14:paraId="6966A27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5EF02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14:paraId="254EC15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大数据技术应用</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2C0B854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710205</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036442C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电子与信息大类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15C2EB2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计算机类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14:paraId="005A95C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2146A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14:paraId="1D55A04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计算机平面设计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40BB54D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710210</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6F89A92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电子与信息大类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220B84B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计算机类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14:paraId="1444EF8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1E18B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14:paraId="5EA0D8D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现代通信技术应用</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4240F40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710301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6F48857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电子与信息大类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408A97B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通信类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14:paraId="66E6FEE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04491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14:paraId="35EFA12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护理</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7524DD4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720201</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407995E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医药卫生大类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3C4473A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护理类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14:paraId="7137094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670C7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14:paraId="685539F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药剂</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5DC40BD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720301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0AC675B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医药卫生大类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1297029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药学类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14:paraId="316C871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610CD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14:paraId="6E15210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中医护理</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343A221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720402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62FD20B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医药卫生大类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132A58F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中医药类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14:paraId="6120CA9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6ACC1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14:paraId="2330D9E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中医康复技术</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4AF5291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720408</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6DE2431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医药卫生大类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5FFF6E2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中医药类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14:paraId="5B0FD97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3FD11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14:paraId="7EAE10A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医学检验技术</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4D5C6BB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720501</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7372C6D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医药卫生大类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4D354F1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医学技术类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14:paraId="7A37A30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60965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14:paraId="6CEB618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康复技术</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6BB5251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720601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4DF0852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医药卫生大类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3C72C39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康复治疗类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14:paraId="5C9D00B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18825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14:paraId="4FE795C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会计事务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7A249A5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730301</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0BEF706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财经商贸大类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52AB956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财务会计类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14:paraId="10E0F70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2F1E7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14:paraId="1CDB51F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市场营销</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3CC10AC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730602</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23AF800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财经商贸大类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6DF8AEA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工商管理类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14:paraId="7BFA9F1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799E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14:paraId="29E5A8E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客户信息服务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147FC3F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730603</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0D51B32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财经商贸大类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6F4AB1A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工商管理类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14:paraId="59E0BEC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64FB6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14:paraId="236B933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电子商务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69602C7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730701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0FA509E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财经商贸大类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67F44A2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电子商务类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14:paraId="621DE31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03DE5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14:paraId="32FCD33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网络营销</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43B09C4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730704</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54A3D87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财经商贸大类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25CB5B0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电子商务类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14:paraId="4BABD87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10245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14:paraId="0E217F0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物流服务与管理</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0326D71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730801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706813B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财经商贸大类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5BBAC7B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物流类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14:paraId="685A8DD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448EC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14:paraId="7A13C38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旅游服务与管理</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23FF9B0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740101</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371F13F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旅游大类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3198E45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旅游类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14:paraId="4FCD97E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4D273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14:paraId="490C684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高星级饭店运营与管理</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617EA7C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740104</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4997869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旅游大类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3209ADB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旅游类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14:paraId="16242F2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7D824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14:paraId="73BD82F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茶艺与茶营销</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67862AC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740105</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308A477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旅游大类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5CB17A0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旅游类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14:paraId="2CBD9F5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55E47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14:paraId="47531BA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中餐烹饪</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3115BB1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740201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0A945C5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旅游大类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3BFF3E6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餐饮类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14:paraId="70576DF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2A93A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14:paraId="3E9D465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绘画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1B77CDC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750107</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708273C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文化艺术大类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753C739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艺术设计类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14:paraId="5D03B6F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491AD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14:paraId="5A0A9F0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美容美体艺术</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643F153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750111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7F25A1E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文化艺术大类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14:paraId="1448D40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艺术设计类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14:paraId="6C4DEE3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693A5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14:paraId="2463E48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幼儿保育</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16B394A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770101</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5304F74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教育与体育大类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14:paraId="5D3F8A6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教育类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14:paraId="5C349E5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173BA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nil"/>
              <w:right w:val="single" w:color="FFFFFF" w:sz="4" w:space="0"/>
            </w:tcBorders>
            <w:shd w:val="clear" w:color="B5C6EA" w:fill="B5C6EA"/>
            <w:vAlign w:val="center"/>
          </w:tcPr>
          <w:p w14:paraId="1FC10AE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运动训练</w:t>
            </w:r>
          </w:p>
        </w:tc>
        <w:tc>
          <w:tcPr>
            <w:tcW w:w="0" w:type="auto"/>
            <w:tcBorders>
              <w:top w:val="single" w:color="FFFFFF" w:sz="4" w:space="0"/>
              <w:left w:val="single" w:color="FFFFFF" w:sz="4" w:space="0"/>
              <w:bottom w:val="nil"/>
              <w:right w:val="single" w:color="FFFFFF" w:sz="4" w:space="0"/>
            </w:tcBorders>
            <w:shd w:val="clear" w:color="B5C6EA" w:fill="B5C6EA"/>
            <w:vAlign w:val="center"/>
          </w:tcPr>
          <w:p w14:paraId="1B4CDDE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770303</w:t>
            </w:r>
          </w:p>
        </w:tc>
        <w:tc>
          <w:tcPr>
            <w:tcW w:w="0" w:type="auto"/>
            <w:tcBorders>
              <w:top w:val="single" w:color="FFFFFF" w:sz="4" w:space="0"/>
              <w:left w:val="single" w:color="FFFFFF" w:sz="4" w:space="0"/>
              <w:bottom w:val="nil"/>
              <w:right w:val="single" w:color="FFFFFF" w:sz="4" w:space="0"/>
            </w:tcBorders>
            <w:shd w:val="clear" w:color="B5C6EA" w:fill="B5C6EA"/>
            <w:vAlign w:val="center"/>
          </w:tcPr>
          <w:p w14:paraId="01B3E86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教育与体育大类</w:t>
            </w:r>
          </w:p>
        </w:tc>
        <w:tc>
          <w:tcPr>
            <w:tcW w:w="0" w:type="auto"/>
            <w:tcBorders>
              <w:top w:val="single" w:color="FFFFFF" w:sz="4" w:space="0"/>
              <w:left w:val="single" w:color="FFFFFF" w:sz="4" w:space="0"/>
              <w:bottom w:val="nil"/>
              <w:right w:val="single" w:color="FFFFFF" w:sz="4" w:space="0"/>
            </w:tcBorders>
            <w:shd w:val="clear" w:color="B5C6EA" w:fill="B5C6EA"/>
            <w:vAlign w:val="center"/>
          </w:tcPr>
          <w:p w14:paraId="20637D9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体育类</w:t>
            </w:r>
          </w:p>
        </w:tc>
        <w:tc>
          <w:tcPr>
            <w:tcW w:w="0" w:type="auto"/>
            <w:tcBorders>
              <w:top w:val="single" w:color="FFFFFF" w:sz="4" w:space="0"/>
              <w:left w:val="single" w:color="FFFFFF" w:sz="4" w:space="0"/>
              <w:bottom w:val="nil"/>
              <w:right w:val="nil"/>
            </w:tcBorders>
            <w:shd w:val="clear" w:color="B5C6EA" w:fill="B5C6EA"/>
            <w:vAlign w:val="center"/>
          </w:tcPr>
          <w:p w14:paraId="60F492F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bl>
    <w:p w14:paraId="2C0CD0A2">
      <w:pPr>
        <w:pStyle w:val="16"/>
        <w:rPr>
          <w:rFonts w:hint="default"/>
          <w:lang w:val="en-US" w:eastAsia="zh-CN"/>
        </w:rPr>
      </w:pPr>
    </w:p>
    <w:p w14:paraId="2C0BFFB4">
      <w:pPr>
        <w:pStyle w:val="36"/>
        <w:bidi w:val="0"/>
        <w:rPr>
          <w:rFonts w:hint="default"/>
          <w:lang w:val="en-US" w:eastAsia="zh-CN"/>
        </w:rPr>
      </w:pPr>
      <w:bookmarkStart w:id="34" w:name="_Toc29082"/>
      <w:bookmarkStart w:id="35" w:name="_Toc32188"/>
      <w:r>
        <w:rPr>
          <w:rFonts w:hint="default"/>
          <w:lang w:val="en-US" w:eastAsia="zh-CN"/>
        </w:rPr>
        <w:t>2.2</w:t>
      </w:r>
      <w:r>
        <w:rPr>
          <w:rFonts w:hint="eastAsia"/>
          <w:lang w:val="en-US" w:eastAsia="zh-CN"/>
        </w:rPr>
        <w:t xml:space="preserve"> </w:t>
      </w:r>
      <w:r>
        <w:rPr>
          <w:rFonts w:hint="default"/>
          <w:lang w:val="en-US" w:eastAsia="zh-CN"/>
        </w:rPr>
        <w:t>立德树人</w:t>
      </w:r>
      <w:bookmarkEnd w:id="34"/>
      <w:bookmarkEnd w:id="35"/>
    </w:p>
    <w:p w14:paraId="2CCB8DDB">
      <w:pPr>
        <w:pStyle w:val="16"/>
        <w:rPr>
          <w:rFonts w:hint="default"/>
          <w:lang w:val="en-US" w:eastAsia="zh-CN"/>
        </w:rPr>
      </w:pPr>
      <w:r>
        <w:rPr>
          <w:rFonts w:hint="eastAsia"/>
          <w:lang w:val="en-US" w:eastAsia="zh-CN"/>
        </w:rPr>
        <w:t>2023年，各中职</w:t>
      </w:r>
      <w:r>
        <w:rPr>
          <w:rFonts w:hint="default"/>
          <w:lang w:val="en-US" w:eastAsia="zh-CN"/>
        </w:rPr>
        <w:t>学校</w:t>
      </w:r>
      <w:r>
        <w:rPr>
          <w:rFonts w:hint="eastAsia"/>
          <w:lang w:val="en-US" w:eastAsia="zh-CN"/>
        </w:rPr>
        <w:t>进一步</w:t>
      </w:r>
      <w:r>
        <w:rPr>
          <w:rFonts w:hint="default"/>
          <w:lang w:val="en-US" w:eastAsia="zh-CN"/>
        </w:rPr>
        <w:t>坚持以习近平新时代中国特色社会主义思想为指导，紧紧围绕立德树人根本任务，引导学生树立正确的世界观、人生观和价值观</w:t>
      </w:r>
      <w:r>
        <w:rPr>
          <w:rFonts w:hint="eastAsia"/>
          <w:lang w:val="en-US" w:eastAsia="zh-CN"/>
        </w:rPr>
        <w:t>，厚植爱国主义情怀，培育社会公德和传统道德。让学生自觉</w:t>
      </w:r>
      <w:r>
        <w:rPr>
          <w:rFonts w:hint="default"/>
          <w:lang w:val="en-US" w:eastAsia="zh-CN"/>
        </w:rPr>
        <w:t>把爱国情、强国志、报国行自觉融入坚持和发展中国特色社会主义事业、建设社会主义现代化强国、实现中华民族伟大复兴的奋斗之中。</w:t>
      </w:r>
    </w:p>
    <w:p w14:paraId="6A69CFD5">
      <w:pPr>
        <w:pStyle w:val="37"/>
        <w:bidi w:val="0"/>
        <w:rPr>
          <w:rFonts w:hint="default"/>
          <w:lang w:val="en-US" w:eastAsia="zh-CN"/>
        </w:rPr>
      </w:pPr>
      <w:bookmarkStart w:id="36" w:name="_Toc26253"/>
      <w:r>
        <w:rPr>
          <w:rFonts w:hint="default"/>
          <w:lang w:val="en-US" w:eastAsia="zh-CN"/>
        </w:rPr>
        <w:t>案例</w:t>
      </w:r>
      <w:r>
        <w:rPr>
          <w:rFonts w:hint="eastAsia"/>
          <w:lang w:val="en-US" w:eastAsia="zh-CN"/>
        </w:rPr>
        <w:t>1</w:t>
      </w:r>
      <w:r>
        <w:rPr>
          <w:rFonts w:hint="default"/>
          <w:lang w:val="en-US" w:eastAsia="zh-CN"/>
        </w:rPr>
        <w:t>：</w:t>
      </w:r>
      <w:r>
        <w:rPr>
          <w:rFonts w:hint="eastAsia"/>
          <w:lang w:val="en-US" w:eastAsia="zh-CN"/>
        </w:rPr>
        <w:t>永修中专开展</w:t>
      </w:r>
      <w:r>
        <w:rPr>
          <w:rFonts w:hint="default"/>
          <w:lang w:val="en-US" w:eastAsia="zh-CN"/>
        </w:rPr>
        <w:t>丰富多彩的共青团活动</w:t>
      </w:r>
      <w:bookmarkEnd w:id="36"/>
      <w:r>
        <w:rPr>
          <w:rFonts w:hint="default"/>
          <w:lang w:val="en-US" w:eastAsia="zh-CN"/>
        </w:rPr>
        <w:t xml:space="preserve"> </w:t>
      </w:r>
    </w:p>
    <w:p w14:paraId="1DFDDBA4">
      <w:pPr>
        <w:pStyle w:val="39"/>
        <w:bidi w:val="0"/>
        <w:rPr>
          <w:rFonts w:hint="default"/>
          <w:lang w:val="en-US" w:eastAsia="zh-CN"/>
        </w:rPr>
      </w:pPr>
      <w:r>
        <w:rPr>
          <w:rFonts w:hint="default"/>
          <w:lang w:val="en-US" w:eastAsia="zh-CN"/>
        </w:rPr>
        <w:t>为加强共青团建设，学校团委在县团委的领导下，结合学校实际，开展了一系列的团队活动。既提高了全校团员的思想素养，又提高了学生参与社会生活的能力。</w:t>
      </w:r>
    </w:p>
    <w:p w14:paraId="0B7E78F3">
      <w:pPr>
        <w:pStyle w:val="39"/>
        <w:bidi w:val="0"/>
        <w:rPr>
          <w:rFonts w:hint="default"/>
          <w:lang w:val="en-US" w:eastAsia="zh-CN"/>
        </w:rPr>
      </w:pPr>
      <w:r>
        <w:rPr>
          <w:rFonts w:hint="default"/>
          <w:lang w:val="en-US" w:eastAsia="zh-CN"/>
        </w:rPr>
        <w:t>3月份开展了“寻找雷锋足迹，弘扬雷锋精神”学雷锋活动月。</w:t>
      </w:r>
    </w:p>
    <w:p w14:paraId="644BC213">
      <w:pPr>
        <w:pStyle w:val="39"/>
        <w:bidi w:val="0"/>
        <w:rPr>
          <w:rFonts w:hint="default"/>
          <w:lang w:val="en-US" w:eastAsia="zh-CN"/>
        </w:rPr>
      </w:pPr>
      <w:r>
        <w:rPr>
          <w:rFonts w:hint="default"/>
          <w:lang w:val="en-US" w:eastAsia="zh-CN"/>
        </w:rPr>
        <w:t>4月4日组织了“缅怀革命先烈弘扬烈士精神”清明祭扫革命烈士纪念塔活动。</w:t>
      </w:r>
    </w:p>
    <w:p w14:paraId="00CC0000">
      <w:pPr>
        <w:pStyle w:val="39"/>
        <w:bidi w:val="0"/>
        <w:rPr>
          <w:rFonts w:hint="default"/>
          <w:lang w:val="en-US" w:eastAsia="zh-CN"/>
        </w:rPr>
      </w:pPr>
      <w:r>
        <w:rPr>
          <w:rFonts w:hint="default"/>
          <w:lang w:val="en-US" w:eastAsia="zh-CN"/>
        </w:rPr>
        <w:t>4月29日组织入团积极分子团课学习，各支部开会讨论和表决拟入团同学名单</w:t>
      </w:r>
    </w:p>
    <w:p w14:paraId="7E3445B1">
      <w:pPr>
        <w:pStyle w:val="39"/>
        <w:bidi w:val="0"/>
        <w:rPr>
          <w:rFonts w:hint="default"/>
          <w:lang w:val="en-US" w:eastAsia="zh-CN"/>
        </w:rPr>
      </w:pPr>
      <w:r>
        <w:rPr>
          <w:rFonts w:hint="default"/>
          <w:lang w:val="en-US" w:eastAsia="zh-CN"/>
        </w:rPr>
        <w:t>10月举办“红色故事我来讲、革命精神永流传”演讲比赛</w:t>
      </w:r>
    </w:p>
    <w:p w14:paraId="52C4C1D9">
      <w:pPr>
        <w:pStyle w:val="39"/>
        <w:bidi w:val="0"/>
        <w:rPr>
          <w:rFonts w:hint="default"/>
          <w:lang w:val="en-US" w:eastAsia="zh-CN"/>
        </w:rPr>
      </w:pPr>
      <w:r>
        <w:rPr>
          <w:rFonts w:hint="default"/>
          <w:lang w:val="en-US" w:eastAsia="zh-CN"/>
        </w:rPr>
        <w:t>11月组织全校师生共跳一支（我和我的祖国）舞。</w:t>
      </w:r>
    </w:p>
    <w:p w14:paraId="381D551D">
      <w:pPr>
        <w:pStyle w:val="39"/>
        <w:bidi w:val="0"/>
        <w:rPr>
          <w:rFonts w:hint="default"/>
          <w:lang w:val="en-US" w:eastAsia="zh-CN"/>
        </w:rPr>
      </w:pPr>
      <w:r>
        <w:rPr>
          <w:rFonts w:hint="default"/>
          <w:lang w:val="en-US" w:eastAsia="zh-CN"/>
        </w:rPr>
        <w:t>12月开展了“青春心向党，建功新时代”主题教育团日活动。</w:t>
      </w:r>
    </w:p>
    <w:p w14:paraId="360046B1">
      <w:pPr>
        <w:pStyle w:val="39"/>
        <w:bidi w:val="0"/>
        <w:rPr>
          <w:rFonts w:hint="default"/>
          <w:lang w:val="en-US" w:eastAsia="zh-CN"/>
        </w:rPr>
      </w:pPr>
    </w:p>
    <w:p w14:paraId="7C7DB112">
      <w:pPr>
        <w:pStyle w:val="37"/>
        <w:bidi w:val="0"/>
        <w:rPr>
          <w:rFonts w:hint="eastAsia"/>
          <w:lang w:val="en-US" w:eastAsia="zh-CN"/>
        </w:rPr>
      </w:pPr>
      <w:bookmarkStart w:id="37" w:name="_Toc17226"/>
      <w:r>
        <w:rPr>
          <w:rFonts w:hint="eastAsia"/>
          <w:lang w:val="en-US" w:eastAsia="zh-CN"/>
        </w:rPr>
        <w:t>案例2：九江科技中专提高学校思想政治理论课教学质量</w:t>
      </w:r>
      <w:bookmarkEnd w:id="37"/>
    </w:p>
    <w:p w14:paraId="78750DEF">
      <w:pPr>
        <w:pStyle w:val="39"/>
        <w:bidi w:val="0"/>
        <w:rPr>
          <w:rFonts w:hint="eastAsia"/>
          <w:lang w:val="en-US" w:eastAsia="zh-CN"/>
        </w:rPr>
      </w:pPr>
      <w:r>
        <w:rPr>
          <w:rFonts w:hint="eastAsia"/>
          <w:lang w:val="en-US" w:eastAsia="zh-CN"/>
        </w:rPr>
        <w:t>九江科技中专为提高学校思想政治理论课教学质量和水平，开创学校思想政治教育工作新局面，结合学校实际，制定了思政工作建设方案。成立了学校思政教师教研工作组，组建学校大思政工作群（微信工作群和钉钉授课群），新建思政处工作邮箱，进一步规范全校思想政治理论课教学计划及课程进度，加强思政教师业务交流。开辟了校园广播站思政宣传阵地，每周二、周四午间开设“空中课堂”，进行思政教育宣讲，各系利用晚自习时间收看新闻联播，积极引导学生听党话、跟党走，争做新时代好少年，帮助学生扣好人生第一粒扣子。</w:t>
      </w:r>
    </w:p>
    <w:p w14:paraId="65F5D83D">
      <w:pPr>
        <w:pStyle w:val="39"/>
        <w:bidi w:val="0"/>
        <w:rPr>
          <w:rFonts w:hint="default"/>
          <w:lang w:val="en-US" w:eastAsia="zh-CN"/>
        </w:rPr>
      </w:pPr>
      <w:r>
        <w:rPr>
          <w:rFonts w:hint="eastAsia"/>
          <w:lang w:val="en-US" w:eastAsia="zh-CN"/>
        </w:rPr>
        <w:t>2022—2023学年下学期学校共有80个教学班，在校学生3842人，43名思政教师；2023—2024学年上学期学校共有56个教学班，在校学生2767人，22名思政教师参与相关活动。</w:t>
      </w:r>
    </w:p>
    <w:p w14:paraId="77BA25D6">
      <w:pPr>
        <w:pStyle w:val="39"/>
        <w:bidi w:val="0"/>
        <w:rPr>
          <w:rFonts w:hint="eastAsia"/>
          <w:lang w:val="en-US" w:eastAsia="zh-CN"/>
        </w:rPr>
      </w:pPr>
    </w:p>
    <w:p w14:paraId="70E1E2F3">
      <w:pPr>
        <w:pStyle w:val="39"/>
        <w:bidi w:val="0"/>
        <w:rPr>
          <w:rFonts w:hint="default"/>
          <w:lang w:val="en-US" w:eastAsia="zh-CN"/>
        </w:rPr>
      </w:pPr>
    </w:p>
    <w:p w14:paraId="3DA5FBD5">
      <w:pPr>
        <w:pStyle w:val="40"/>
        <w:bidi w:val="0"/>
        <w:rPr>
          <w:rFonts w:hint="eastAsia"/>
          <w:lang w:val="en-US" w:eastAsia="zh-CN"/>
        </w:rPr>
      </w:pPr>
      <w:bookmarkStart w:id="38" w:name="_Toc19696"/>
      <w:r>
        <w:rPr>
          <w:rFonts w:hint="eastAsia"/>
          <w:lang w:val="en-US" w:eastAsia="zh-CN"/>
        </w:rPr>
        <w:t>图1：</w:t>
      </w:r>
      <w:r>
        <w:rPr>
          <w:rFonts w:hint="default"/>
          <w:lang w:val="en-US" w:eastAsia="zh-CN"/>
        </w:rPr>
        <w:t>赣北电子工业学校</w:t>
      </w:r>
      <w:r>
        <w:rPr>
          <w:rFonts w:hint="eastAsia"/>
          <w:lang w:val="en-US" w:eastAsia="zh-CN"/>
        </w:rPr>
        <w:drawing>
          <wp:anchor distT="0" distB="0" distL="114300" distR="114300" simplePos="0" relativeHeight="251660288" behindDoc="1" locked="0" layoutInCell="1" allowOverlap="1">
            <wp:simplePos x="0" y="0"/>
            <wp:positionH relativeFrom="column">
              <wp:posOffset>57150</wp:posOffset>
            </wp:positionH>
            <wp:positionV relativeFrom="paragraph">
              <wp:posOffset>80645</wp:posOffset>
            </wp:positionV>
            <wp:extent cx="5219700" cy="3754755"/>
            <wp:effectExtent l="0" t="0" r="0" b="17145"/>
            <wp:wrapThrough wrapText="bothSides">
              <wp:wrapPolygon>
                <wp:start x="0" y="0"/>
                <wp:lineTo x="0" y="21479"/>
                <wp:lineTo x="21521" y="21479"/>
                <wp:lineTo x="21521" y="0"/>
                <wp:lineTo x="0" y="0"/>
              </wp:wrapPolygon>
            </wp:wrapThrough>
            <wp:docPr id="10" name="图片 10" descr="IMG_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3"/>
                    <pic:cNvPicPr>
                      <a:picLocks noChangeAspect="1"/>
                    </pic:cNvPicPr>
                  </pic:nvPicPr>
                  <pic:blipFill>
                    <a:blip r:embed="rId8"/>
                    <a:srcRect r="3145"/>
                    <a:stretch>
                      <a:fillRect/>
                    </a:stretch>
                  </pic:blipFill>
                  <pic:spPr>
                    <a:xfrm>
                      <a:off x="0" y="0"/>
                      <a:ext cx="5219700" cy="3754755"/>
                    </a:xfrm>
                    <a:prstGeom prst="rect">
                      <a:avLst/>
                    </a:prstGeom>
                  </pic:spPr>
                </pic:pic>
              </a:graphicData>
            </a:graphic>
          </wp:anchor>
        </w:drawing>
      </w:r>
      <w:r>
        <w:rPr>
          <w:rFonts w:hint="eastAsia"/>
          <w:lang w:val="en-US" w:eastAsia="zh-CN"/>
        </w:rPr>
        <w:t>新团员参加入团仪式</w:t>
      </w:r>
      <w:bookmarkEnd w:id="38"/>
    </w:p>
    <w:p w14:paraId="5DE8A959">
      <w:pPr>
        <w:pStyle w:val="16"/>
        <w:rPr>
          <w:rFonts w:hint="default"/>
          <w:lang w:val="en-US" w:eastAsia="zh-CN"/>
        </w:rPr>
      </w:pPr>
    </w:p>
    <w:p w14:paraId="3BBAAFE2">
      <w:pPr>
        <w:pStyle w:val="36"/>
        <w:bidi w:val="0"/>
        <w:rPr>
          <w:rFonts w:hint="default"/>
          <w:lang w:val="en-US" w:eastAsia="zh-CN"/>
        </w:rPr>
      </w:pPr>
      <w:bookmarkStart w:id="39" w:name="_Toc27711"/>
      <w:bookmarkStart w:id="40" w:name="_Toc21108"/>
      <w:r>
        <w:rPr>
          <w:rFonts w:hint="default"/>
          <w:lang w:val="en-US" w:eastAsia="zh-CN"/>
        </w:rPr>
        <w:t>2.3</w:t>
      </w:r>
      <w:r>
        <w:rPr>
          <w:rFonts w:hint="eastAsia"/>
          <w:lang w:val="en-US" w:eastAsia="zh-CN"/>
        </w:rPr>
        <w:t xml:space="preserve"> </w:t>
      </w:r>
      <w:r>
        <w:rPr>
          <w:rFonts w:hint="default"/>
          <w:lang w:val="en-US" w:eastAsia="zh-CN"/>
        </w:rPr>
        <w:t>在校体验</w:t>
      </w:r>
      <w:bookmarkEnd w:id="39"/>
      <w:bookmarkEnd w:id="40"/>
    </w:p>
    <w:p w14:paraId="5852D7ED">
      <w:pPr>
        <w:pStyle w:val="16"/>
        <w:rPr>
          <w:rFonts w:hint="default"/>
          <w:lang w:val="en-US" w:eastAsia="zh-CN"/>
        </w:rPr>
      </w:pPr>
      <w:r>
        <w:rPr>
          <w:rFonts w:hint="eastAsia"/>
          <w:lang w:val="en-US" w:eastAsia="zh-CN"/>
        </w:rPr>
        <w:t>2023年，</w:t>
      </w:r>
      <w:r>
        <w:rPr>
          <w:rFonts w:hint="default"/>
          <w:lang w:val="en-US" w:eastAsia="zh-CN"/>
        </w:rPr>
        <w:t>全市</w:t>
      </w:r>
      <w:r>
        <w:rPr>
          <w:rFonts w:hint="eastAsia"/>
          <w:lang w:val="en-US" w:eastAsia="zh-CN"/>
        </w:rPr>
        <w:t>各</w:t>
      </w:r>
      <w:r>
        <w:rPr>
          <w:rFonts w:hint="default"/>
          <w:lang w:val="en-US" w:eastAsia="zh-CN"/>
        </w:rPr>
        <w:t>中职学校积极营造良好的校园氛围，保障学生良好学习环境，为师生提供优质的服务，打造健康、向上、积极的校园文化，让师生在工作和学习中享受快乐。</w:t>
      </w:r>
    </w:p>
    <w:p w14:paraId="79069764">
      <w:pPr>
        <w:pStyle w:val="16"/>
        <w:ind w:left="0" w:leftChars="0" w:firstLine="0" w:firstLineChars="0"/>
        <w:jc w:val="center"/>
        <w:rPr>
          <w:rFonts w:hint="default"/>
          <w:lang w:val="en-US" w:eastAsia="zh-CN"/>
        </w:rPr>
      </w:pPr>
      <w:r>
        <w:rPr>
          <w:rFonts w:hint="eastAsia" w:ascii="仿宋_GB2312" w:eastAsia="仿宋_GB2312"/>
          <w:sz w:val="32"/>
          <w:szCs w:val="32"/>
        </w:rPr>
        <w:drawing>
          <wp:inline distT="0" distB="0" distL="114300" distR="114300">
            <wp:extent cx="5039995" cy="3435350"/>
            <wp:effectExtent l="0" t="0" r="8255" b="12700"/>
            <wp:docPr id="5435531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553180"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039995" cy="3435350"/>
                    </a:xfrm>
                    <a:prstGeom prst="rect">
                      <a:avLst/>
                    </a:prstGeom>
                    <a:noFill/>
                    <a:ln>
                      <a:noFill/>
                    </a:ln>
                  </pic:spPr>
                </pic:pic>
              </a:graphicData>
            </a:graphic>
          </wp:inline>
        </w:drawing>
      </w:r>
    </w:p>
    <w:p w14:paraId="2B964AC2">
      <w:pPr>
        <w:pStyle w:val="40"/>
        <w:bidi w:val="0"/>
        <w:rPr>
          <w:rFonts w:hint="default"/>
          <w:lang w:val="en-US" w:eastAsia="zh-CN"/>
        </w:rPr>
      </w:pPr>
      <w:bookmarkStart w:id="41" w:name="_Toc15950"/>
      <w:r>
        <w:rPr>
          <w:rFonts w:hint="eastAsia"/>
          <w:lang w:val="en-US" w:eastAsia="zh-CN"/>
        </w:rPr>
        <w:t>图2：九江市卫生学校的学生跳蚤市场</w:t>
      </w:r>
      <w:bookmarkEnd w:id="41"/>
    </w:p>
    <w:p w14:paraId="3926BEA2">
      <w:pPr>
        <w:pStyle w:val="16"/>
        <w:ind w:left="0" w:leftChars="0" w:firstLine="0" w:firstLineChars="0"/>
        <w:jc w:val="center"/>
        <w:rPr>
          <w:rFonts w:ascii="宋体" w:hAnsi="宋体"/>
        </w:rPr>
      </w:pPr>
      <w:r>
        <w:rPr>
          <w:rFonts w:ascii="宋体" w:hAnsi="宋体"/>
        </w:rPr>
        <w:drawing>
          <wp:inline distT="0" distB="0" distL="114300" distR="114300">
            <wp:extent cx="5039995" cy="3359150"/>
            <wp:effectExtent l="0" t="0" r="8255" b="1270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0"/>
                    <a:stretch>
                      <a:fillRect/>
                    </a:stretch>
                  </pic:blipFill>
                  <pic:spPr>
                    <a:xfrm>
                      <a:off x="0" y="0"/>
                      <a:ext cx="5039995" cy="3359150"/>
                    </a:xfrm>
                    <a:prstGeom prst="rect">
                      <a:avLst/>
                    </a:prstGeom>
                    <a:noFill/>
                    <a:ln>
                      <a:noFill/>
                    </a:ln>
                  </pic:spPr>
                </pic:pic>
              </a:graphicData>
            </a:graphic>
          </wp:inline>
        </w:drawing>
      </w:r>
    </w:p>
    <w:p w14:paraId="2F7F5EB4">
      <w:pPr>
        <w:pStyle w:val="40"/>
        <w:bidi w:val="0"/>
        <w:rPr>
          <w:rFonts w:hint="default"/>
          <w:lang w:val="en-US" w:eastAsia="zh-CN"/>
        </w:rPr>
      </w:pPr>
      <w:bookmarkStart w:id="42" w:name="_Toc27075"/>
      <w:r>
        <w:rPr>
          <w:rFonts w:hint="eastAsia"/>
          <w:lang w:val="en-US" w:eastAsia="zh-CN"/>
        </w:rPr>
        <w:t>图3：都昌中专组织汽车类专业技能展示</w:t>
      </w:r>
      <w:bookmarkEnd w:id="42"/>
    </w:p>
    <w:p w14:paraId="6D2ECCB7">
      <w:pPr>
        <w:pStyle w:val="16"/>
        <w:rPr>
          <w:rFonts w:hint="default"/>
          <w:lang w:val="en-US" w:eastAsia="zh-CN"/>
        </w:rPr>
      </w:pPr>
      <w:r>
        <w:rPr>
          <w:rFonts w:hint="eastAsia"/>
          <w:lang w:val="en-US" w:eastAsia="zh-CN"/>
        </w:rPr>
        <w:t>2023年各中职学校参加国家学生体质健康标准测试人数34913人，测评合格率91.23%。</w:t>
      </w:r>
    </w:p>
    <w:p w14:paraId="1BE92DA8">
      <w:pPr>
        <w:pStyle w:val="16"/>
        <w:rPr>
          <w:rFonts w:hint="default"/>
          <w:lang w:val="en-US" w:eastAsia="zh-CN"/>
        </w:rPr>
      </w:pPr>
      <w:r>
        <w:rPr>
          <w:rFonts w:hint="default"/>
          <w:lang w:val="en-US" w:eastAsia="zh-CN"/>
        </w:rPr>
        <w:t>通过组织各中职学校，召开学生代表座谈会、问卷调查、网络征集、电话调查等方式，及时掌握、评估在校学生对课堂育人、思想政治课、公共基础课、专业课教学等满意程度。通过问卷调查、网络征集、电话调查等方式对教职工、毕业生、用人单位以及学生家长满意程度进行了调查测评。从调查结果看，在校生、毕业生、教职工、用人单位和家长各项满</w:t>
      </w:r>
      <w:r>
        <w:rPr>
          <w:rFonts w:hint="eastAsia"/>
          <w:lang w:val="en-US" w:eastAsia="zh-CN"/>
        </w:rPr>
        <w:t>意度</w:t>
      </w:r>
      <w:r>
        <w:rPr>
          <w:rFonts w:hint="default"/>
          <w:lang w:val="en-US" w:eastAsia="zh-CN"/>
        </w:rPr>
        <w:t>总体处于良好水平。</w:t>
      </w:r>
    </w:p>
    <w:p w14:paraId="5E625349">
      <w:pPr>
        <w:pStyle w:val="38"/>
        <w:bidi w:val="0"/>
        <w:rPr>
          <w:rFonts w:hint="default"/>
          <w:lang w:val="en-US" w:eastAsia="zh-CN"/>
        </w:rPr>
      </w:pPr>
      <w:bookmarkStart w:id="43" w:name="_Toc12746"/>
      <w:r>
        <w:rPr>
          <w:rFonts w:hint="eastAsia"/>
          <w:lang w:val="en-US" w:eastAsia="zh-CN"/>
        </w:rPr>
        <w:t>表5：满意度调查（综合）一览表</w:t>
      </w:r>
      <w:bookmarkEnd w:id="43"/>
    </w:p>
    <w:tbl>
      <w:tblPr>
        <w:tblStyle w:val="13"/>
        <w:tblW w:w="81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40"/>
        <w:gridCol w:w="4535"/>
        <w:gridCol w:w="1023"/>
        <w:gridCol w:w="1122"/>
      </w:tblGrid>
      <w:tr w14:paraId="57FAF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440" w:type="dxa"/>
            <w:tcBorders>
              <w:top w:val="nil"/>
              <w:left w:val="nil"/>
              <w:bottom w:val="single" w:color="FFFFFF" w:sz="12" w:space="0"/>
              <w:right w:val="single" w:color="FFFFFF" w:sz="4" w:space="0"/>
            </w:tcBorders>
            <w:shd w:val="clear" w:color="4874CB" w:fill="4874CB"/>
            <w:noWrap/>
            <w:vAlign w:val="center"/>
          </w:tcPr>
          <w:p w14:paraId="7F3DE3FB">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调查对象</w:t>
            </w:r>
          </w:p>
        </w:tc>
        <w:tc>
          <w:tcPr>
            <w:tcW w:w="4535" w:type="dxa"/>
            <w:tcBorders>
              <w:top w:val="nil"/>
              <w:left w:val="single" w:color="FFFFFF" w:sz="4" w:space="0"/>
              <w:bottom w:val="single" w:color="FFFFFF" w:sz="12" w:space="0"/>
              <w:right w:val="single" w:color="FFFFFF" w:sz="4" w:space="0"/>
            </w:tcBorders>
            <w:shd w:val="clear" w:color="4874CB" w:fill="4874CB"/>
            <w:vAlign w:val="center"/>
          </w:tcPr>
          <w:p w14:paraId="03228C3D">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指标</w:t>
            </w:r>
          </w:p>
        </w:tc>
        <w:tc>
          <w:tcPr>
            <w:tcW w:w="1023" w:type="dxa"/>
            <w:tcBorders>
              <w:top w:val="nil"/>
              <w:left w:val="single" w:color="FFFFFF" w:sz="4" w:space="0"/>
              <w:bottom w:val="single" w:color="FFFFFF" w:sz="12" w:space="0"/>
              <w:right w:val="single" w:color="FFFFFF" w:sz="4" w:space="0"/>
            </w:tcBorders>
            <w:shd w:val="clear" w:color="4874CB" w:fill="4874CB"/>
            <w:vAlign w:val="center"/>
          </w:tcPr>
          <w:p w14:paraId="3414F926">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满意度</w:t>
            </w:r>
          </w:p>
        </w:tc>
        <w:tc>
          <w:tcPr>
            <w:tcW w:w="1122" w:type="dxa"/>
            <w:tcBorders>
              <w:top w:val="nil"/>
              <w:left w:val="single" w:color="FFFFFF" w:sz="4" w:space="0"/>
              <w:bottom w:val="single" w:color="FFFFFF" w:sz="12" w:space="0"/>
              <w:right w:val="nil"/>
            </w:tcBorders>
            <w:shd w:val="clear" w:color="4874CB" w:fill="4874CB"/>
            <w:vAlign w:val="center"/>
          </w:tcPr>
          <w:p w14:paraId="09D715FF">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调查人次</w:t>
            </w:r>
          </w:p>
        </w:tc>
      </w:tr>
      <w:tr w14:paraId="43100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0" w:type="auto"/>
            <w:vMerge w:val="restart"/>
            <w:tcBorders>
              <w:top w:val="single" w:color="FFFFFF" w:sz="12" w:space="0"/>
              <w:left w:val="nil"/>
              <w:bottom w:val="single" w:color="FFFFFF" w:sz="4" w:space="0"/>
              <w:right w:val="single" w:color="FFFFFF" w:sz="4" w:space="0"/>
            </w:tcBorders>
            <w:shd w:val="clear" w:color="B5C6EA" w:fill="B5C6EA"/>
            <w:noWrap/>
            <w:vAlign w:val="center"/>
          </w:tcPr>
          <w:p w14:paraId="7B83C29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在校生</w:t>
            </w:r>
          </w:p>
        </w:tc>
        <w:tc>
          <w:tcPr>
            <w:tcW w:w="4535" w:type="dxa"/>
            <w:tcBorders>
              <w:top w:val="single" w:color="FFFFFF" w:sz="12" w:space="0"/>
              <w:left w:val="single" w:color="FFFFFF" w:sz="4" w:space="0"/>
              <w:bottom w:val="single" w:color="FFFFFF" w:sz="4" w:space="0"/>
              <w:right w:val="single" w:color="FFFFFF" w:sz="4" w:space="0"/>
            </w:tcBorders>
            <w:shd w:val="clear" w:color="B5C6EA" w:fill="B5C6EA"/>
            <w:vAlign w:val="center"/>
          </w:tcPr>
          <w:p w14:paraId="15E8FD63">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在校生满意度</w:t>
            </w:r>
          </w:p>
        </w:tc>
        <w:tc>
          <w:tcPr>
            <w:tcW w:w="1023" w:type="dxa"/>
            <w:tcBorders>
              <w:top w:val="single" w:color="FFFFFF" w:sz="12" w:space="0"/>
              <w:left w:val="single" w:color="FFFFFF" w:sz="4" w:space="0"/>
              <w:bottom w:val="single" w:color="FFFFFF" w:sz="4" w:space="0"/>
              <w:right w:val="single" w:color="FFFFFF" w:sz="4" w:space="0"/>
            </w:tcBorders>
            <w:shd w:val="clear" w:color="B5C6EA" w:fill="B5C6EA"/>
            <w:vAlign w:val="center"/>
          </w:tcPr>
          <w:p w14:paraId="787F3F5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84.13%</w:t>
            </w:r>
          </w:p>
        </w:tc>
        <w:tc>
          <w:tcPr>
            <w:tcW w:w="1122" w:type="dxa"/>
            <w:tcBorders>
              <w:top w:val="single" w:color="FFFFFF" w:sz="12" w:space="0"/>
              <w:left w:val="single" w:color="FFFFFF" w:sz="4" w:space="0"/>
              <w:bottom w:val="single" w:color="FFFFFF" w:sz="4" w:space="0"/>
              <w:right w:val="nil"/>
            </w:tcBorders>
            <w:shd w:val="clear" w:color="B5C6EA" w:fill="B5C6EA"/>
            <w:vAlign w:val="center"/>
          </w:tcPr>
          <w:p w14:paraId="250213A8">
            <w:pPr>
              <w:keepNext w:val="0"/>
              <w:keepLines w:val="0"/>
              <w:widowControl/>
              <w:suppressLineNumbers w:val="0"/>
              <w:jc w:val="center"/>
              <w:textAlignment w:val="center"/>
              <w:rPr>
                <w:rFonts w:hint="default" w:ascii="仿宋_GB2312" w:hAnsi="仿宋_GB2312" w:eastAsia="仿宋_GB2312" w:cs="仿宋_GB2312"/>
                <w:i w:val="0"/>
                <w:iCs w:val="0"/>
                <w:color w:val="000000"/>
                <w:sz w:val="21"/>
                <w:szCs w:val="21"/>
                <w:u w:val="none"/>
                <w:lang w:val="en-US"/>
              </w:rPr>
            </w:pPr>
            <w:r>
              <w:rPr>
                <w:rFonts w:hint="eastAsia" w:ascii="仿宋_GB2312" w:hAnsi="仿宋_GB2312" w:eastAsia="仿宋_GB2312" w:cs="仿宋_GB2312"/>
                <w:i w:val="0"/>
                <w:iCs w:val="0"/>
                <w:color w:val="000000"/>
                <w:kern w:val="0"/>
                <w:sz w:val="21"/>
                <w:szCs w:val="21"/>
                <w:u w:val="none"/>
                <w:lang w:val="en-US" w:eastAsia="zh-CN" w:bidi="ar"/>
              </w:rPr>
              <w:t>8807</w:t>
            </w:r>
          </w:p>
        </w:tc>
      </w:tr>
      <w:tr w14:paraId="16D8F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0" w:type="auto"/>
            <w:vMerge w:val="continue"/>
            <w:tcBorders>
              <w:top w:val="single" w:color="FFFFFF" w:sz="12" w:space="0"/>
              <w:left w:val="nil"/>
              <w:bottom w:val="single" w:color="FFFFFF" w:sz="4" w:space="0"/>
              <w:right w:val="single" w:color="FFFFFF" w:sz="4" w:space="0"/>
            </w:tcBorders>
            <w:shd w:val="clear" w:color="B5C6EA" w:fill="B5C6EA"/>
            <w:noWrap/>
            <w:vAlign w:val="center"/>
          </w:tcPr>
          <w:p w14:paraId="3128AAD9">
            <w:pPr>
              <w:jc w:val="center"/>
              <w:rPr>
                <w:rFonts w:hint="eastAsia" w:ascii="仿宋_GB2312" w:hAnsi="仿宋_GB2312" w:eastAsia="仿宋_GB2312" w:cs="仿宋_GB2312"/>
                <w:i w:val="0"/>
                <w:iCs w:val="0"/>
                <w:color w:val="000000"/>
                <w:sz w:val="21"/>
                <w:szCs w:val="21"/>
                <w:u w:val="none"/>
              </w:rPr>
            </w:pPr>
          </w:p>
        </w:tc>
        <w:tc>
          <w:tcPr>
            <w:tcW w:w="4535"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24DF236F">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其中：课堂育人满意度</w:t>
            </w:r>
          </w:p>
        </w:tc>
        <w:tc>
          <w:tcPr>
            <w:tcW w:w="1023"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4B5F8E7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83.72%</w:t>
            </w:r>
          </w:p>
        </w:tc>
        <w:tc>
          <w:tcPr>
            <w:tcW w:w="1122" w:type="dxa"/>
            <w:tcBorders>
              <w:top w:val="single" w:color="FFFFFF" w:sz="4" w:space="0"/>
              <w:left w:val="single" w:color="FFFFFF" w:sz="4" w:space="0"/>
              <w:bottom w:val="single" w:color="FFFFFF" w:sz="4" w:space="0"/>
              <w:right w:val="nil"/>
            </w:tcBorders>
            <w:shd w:val="clear" w:color="D9E1F4" w:fill="D9E1F4"/>
            <w:vAlign w:val="center"/>
          </w:tcPr>
          <w:p w14:paraId="54C8FE7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8807</w:t>
            </w:r>
          </w:p>
        </w:tc>
      </w:tr>
      <w:tr w14:paraId="414C5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0" w:type="auto"/>
            <w:vMerge w:val="continue"/>
            <w:tcBorders>
              <w:top w:val="single" w:color="FFFFFF" w:sz="12" w:space="0"/>
              <w:left w:val="nil"/>
              <w:bottom w:val="single" w:color="FFFFFF" w:sz="4" w:space="0"/>
              <w:right w:val="single" w:color="FFFFFF" w:sz="4" w:space="0"/>
            </w:tcBorders>
            <w:shd w:val="clear" w:color="B5C6EA" w:fill="B5C6EA"/>
            <w:noWrap/>
            <w:vAlign w:val="center"/>
          </w:tcPr>
          <w:p w14:paraId="1DCD630C">
            <w:pPr>
              <w:jc w:val="center"/>
              <w:rPr>
                <w:rFonts w:hint="eastAsia" w:ascii="仿宋_GB2312" w:hAnsi="仿宋_GB2312" w:eastAsia="仿宋_GB2312" w:cs="仿宋_GB2312"/>
                <w:i w:val="0"/>
                <w:iCs w:val="0"/>
                <w:color w:val="000000"/>
                <w:sz w:val="21"/>
                <w:szCs w:val="21"/>
                <w:u w:val="none"/>
              </w:rPr>
            </w:pPr>
          </w:p>
        </w:tc>
        <w:tc>
          <w:tcPr>
            <w:tcW w:w="4535"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0B6B3E88">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      课外育人满意度</w:t>
            </w:r>
          </w:p>
        </w:tc>
        <w:tc>
          <w:tcPr>
            <w:tcW w:w="1023"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744262E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83.48%</w:t>
            </w:r>
          </w:p>
        </w:tc>
        <w:tc>
          <w:tcPr>
            <w:tcW w:w="1122" w:type="dxa"/>
            <w:tcBorders>
              <w:top w:val="single" w:color="FFFFFF" w:sz="4" w:space="0"/>
              <w:left w:val="single" w:color="FFFFFF" w:sz="4" w:space="0"/>
              <w:bottom w:val="single" w:color="FFFFFF" w:sz="4" w:space="0"/>
              <w:right w:val="nil"/>
            </w:tcBorders>
            <w:shd w:val="clear" w:color="B5C6EA" w:fill="B5C6EA"/>
            <w:vAlign w:val="center"/>
          </w:tcPr>
          <w:p w14:paraId="2FD7671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8807</w:t>
            </w:r>
          </w:p>
        </w:tc>
      </w:tr>
      <w:tr w14:paraId="0D191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0" w:type="auto"/>
            <w:vMerge w:val="continue"/>
            <w:tcBorders>
              <w:top w:val="single" w:color="FFFFFF" w:sz="12" w:space="0"/>
              <w:left w:val="nil"/>
              <w:bottom w:val="single" w:color="FFFFFF" w:sz="4" w:space="0"/>
              <w:right w:val="single" w:color="FFFFFF" w:sz="4" w:space="0"/>
            </w:tcBorders>
            <w:shd w:val="clear" w:color="B5C6EA" w:fill="B5C6EA"/>
            <w:noWrap/>
            <w:vAlign w:val="center"/>
          </w:tcPr>
          <w:p w14:paraId="115E3499">
            <w:pPr>
              <w:jc w:val="center"/>
              <w:rPr>
                <w:rFonts w:hint="eastAsia" w:ascii="仿宋_GB2312" w:hAnsi="仿宋_GB2312" w:eastAsia="仿宋_GB2312" w:cs="仿宋_GB2312"/>
                <w:i w:val="0"/>
                <w:iCs w:val="0"/>
                <w:color w:val="000000"/>
                <w:sz w:val="21"/>
                <w:szCs w:val="21"/>
                <w:u w:val="none"/>
              </w:rPr>
            </w:pPr>
          </w:p>
        </w:tc>
        <w:tc>
          <w:tcPr>
            <w:tcW w:w="4535"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406C58B1">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      思想政治课教学满意度</w:t>
            </w:r>
          </w:p>
        </w:tc>
        <w:tc>
          <w:tcPr>
            <w:tcW w:w="1023"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35238A3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89.20%</w:t>
            </w:r>
          </w:p>
        </w:tc>
        <w:tc>
          <w:tcPr>
            <w:tcW w:w="1122" w:type="dxa"/>
            <w:tcBorders>
              <w:top w:val="single" w:color="FFFFFF" w:sz="4" w:space="0"/>
              <w:left w:val="single" w:color="FFFFFF" w:sz="4" w:space="0"/>
              <w:bottom w:val="single" w:color="FFFFFF" w:sz="4" w:space="0"/>
              <w:right w:val="nil"/>
            </w:tcBorders>
            <w:shd w:val="clear" w:color="D9E1F4" w:fill="D9E1F4"/>
            <w:vAlign w:val="center"/>
          </w:tcPr>
          <w:p w14:paraId="70A8C2B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8807</w:t>
            </w:r>
          </w:p>
        </w:tc>
      </w:tr>
      <w:tr w14:paraId="59FD8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0" w:type="auto"/>
            <w:vMerge w:val="continue"/>
            <w:tcBorders>
              <w:top w:val="single" w:color="FFFFFF" w:sz="12" w:space="0"/>
              <w:left w:val="nil"/>
              <w:bottom w:val="single" w:color="FFFFFF" w:sz="4" w:space="0"/>
              <w:right w:val="single" w:color="FFFFFF" w:sz="4" w:space="0"/>
            </w:tcBorders>
            <w:shd w:val="clear" w:color="B5C6EA" w:fill="B5C6EA"/>
            <w:noWrap/>
            <w:vAlign w:val="center"/>
          </w:tcPr>
          <w:p w14:paraId="0499F57B">
            <w:pPr>
              <w:jc w:val="center"/>
              <w:rPr>
                <w:rFonts w:hint="eastAsia" w:ascii="仿宋_GB2312" w:hAnsi="仿宋_GB2312" w:eastAsia="仿宋_GB2312" w:cs="仿宋_GB2312"/>
                <w:i w:val="0"/>
                <w:iCs w:val="0"/>
                <w:color w:val="000000"/>
                <w:sz w:val="21"/>
                <w:szCs w:val="21"/>
                <w:u w:val="none"/>
              </w:rPr>
            </w:pPr>
          </w:p>
        </w:tc>
        <w:tc>
          <w:tcPr>
            <w:tcW w:w="4535"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6EF3EE6A">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      公共基础课（不含思想政治课）教学</w:t>
            </w:r>
          </w:p>
        </w:tc>
        <w:tc>
          <w:tcPr>
            <w:tcW w:w="1023"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35A9890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86.54%</w:t>
            </w:r>
          </w:p>
        </w:tc>
        <w:tc>
          <w:tcPr>
            <w:tcW w:w="1122" w:type="dxa"/>
            <w:tcBorders>
              <w:top w:val="single" w:color="FFFFFF" w:sz="4" w:space="0"/>
              <w:left w:val="single" w:color="FFFFFF" w:sz="4" w:space="0"/>
              <w:bottom w:val="single" w:color="FFFFFF" w:sz="4" w:space="0"/>
              <w:right w:val="nil"/>
            </w:tcBorders>
            <w:shd w:val="clear" w:color="B5C6EA" w:fill="B5C6EA"/>
            <w:vAlign w:val="center"/>
          </w:tcPr>
          <w:p w14:paraId="2193CCD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8807</w:t>
            </w:r>
          </w:p>
        </w:tc>
      </w:tr>
      <w:tr w14:paraId="18BB8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0" w:type="auto"/>
            <w:vMerge w:val="continue"/>
            <w:tcBorders>
              <w:top w:val="single" w:color="FFFFFF" w:sz="12" w:space="0"/>
              <w:left w:val="nil"/>
              <w:bottom w:val="single" w:color="FFFFFF" w:sz="4" w:space="0"/>
              <w:right w:val="single" w:color="FFFFFF" w:sz="4" w:space="0"/>
            </w:tcBorders>
            <w:shd w:val="clear" w:color="B5C6EA" w:fill="B5C6EA"/>
            <w:noWrap/>
            <w:vAlign w:val="center"/>
          </w:tcPr>
          <w:p w14:paraId="113CBE21">
            <w:pPr>
              <w:jc w:val="center"/>
              <w:rPr>
                <w:rFonts w:hint="eastAsia" w:ascii="仿宋_GB2312" w:hAnsi="仿宋_GB2312" w:eastAsia="仿宋_GB2312" w:cs="仿宋_GB2312"/>
                <w:i w:val="0"/>
                <w:iCs w:val="0"/>
                <w:color w:val="000000"/>
                <w:sz w:val="21"/>
                <w:szCs w:val="21"/>
                <w:u w:val="none"/>
              </w:rPr>
            </w:pPr>
          </w:p>
        </w:tc>
        <w:tc>
          <w:tcPr>
            <w:tcW w:w="4535"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11934BF8">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      专业课教学满意度</w:t>
            </w:r>
          </w:p>
        </w:tc>
        <w:tc>
          <w:tcPr>
            <w:tcW w:w="1023"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16E4DDC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86.73%</w:t>
            </w:r>
          </w:p>
        </w:tc>
        <w:tc>
          <w:tcPr>
            <w:tcW w:w="1122" w:type="dxa"/>
            <w:tcBorders>
              <w:top w:val="single" w:color="FFFFFF" w:sz="4" w:space="0"/>
              <w:left w:val="single" w:color="FFFFFF" w:sz="4" w:space="0"/>
              <w:bottom w:val="single" w:color="FFFFFF" w:sz="4" w:space="0"/>
              <w:right w:val="nil"/>
            </w:tcBorders>
            <w:shd w:val="clear" w:color="D9E1F4" w:fill="D9E1F4"/>
            <w:vAlign w:val="center"/>
          </w:tcPr>
          <w:p w14:paraId="10523BF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8807</w:t>
            </w:r>
          </w:p>
        </w:tc>
      </w:tr>
      <w:tr w14:paraId="23B88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0" w:type="auto"/>
            <w:vMerge w:val="restart"/>
            <w:tcBorders>
              <w:top w:val="single" w:color="FFFFFF" w:sz="4" w:space="0"/>
              <w:left w:val="nil"/>
              <w:bottom w:val="single" w:color="FFFFFF" w:sz="4" w:space="0"/>
              <w:right w:val="single" w:color="FFFFFF" w:sz="4" w:space="0"/>
            </w:tcBorders>
            <w:shd w:val="clear" w:color="B5C6EA" w:fill="B5C6EA"/>
            <w:noWrap/>
            <w:vAlign w:val="center"/>
          </w:tcPr>
          <w:p w14:paraId="36F0E27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毕业生</w:t>
            </w:r>
          </w:p>
        </w:tc>
        <w:tc>
          <w:tcPr>
            <w:tcW w:w="4535"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3DF89FB2">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毕业生满意度</w:t>
            </w:r>
          </w:p>
        </w:tc>
        <w:tc>
          <w:tcPr>
            <w:tcW w:w="1023"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14D1DCE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95.71%</w:t>
            </w:r>
          </w:p>
        </w:tc>
        <w:tc>
          <w:tcPr>
            <w:tcW w:w="1122" w:type="dxa"/>
            <w:tcBorders>
              <w:top w:val="single" w:color="FFFFFF" w:sz="4" w:space="0"/>
              <w:left w:val="single" w:color="FFFFFF" w:sz="4" w:space="0"/>
              <w:bottom w:val="single" w:color="FFFFFF" w:sz="4" w:space="0"/>
              <w:right w:val="nil"/>
            </w:tcBorders>
            <w:shd w:val="clear" w:color="B5C6EA" w:fill="B5C6EA"/>
            <w:vAlign w:val="center"/>
          </w:tcPr>
          <w:p w14:paraId="67DCF2F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7513</w:t>
            </w:r>
          </w:p>
        </w:tc>
      </w:tr>
      <w:tr w14:paraId="0C2ED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0" w:type="auto"/>
            <w:vMerge w:val="continue"/>
            <w:tcBorders>
              <w:top w:val="single" w:color="FFFFFF" w:sz="4" w:space="0"/>
              <w:left w:val="nil"/>
              <w:bottom w:val="single" w:color="FFFFFF" w:sz="4" w:space="0"/>
              <w:right w:val="single" w:color="FFFFFF" w:sz="4" w:space="0"/>
            </w:tcBorders>
            <w:shd w:val="clear" w:color="B5C6EA" w:fill="B5C6EA"/>
            <w:noWrap/>
            <w:vAlign w:val="center"/>
          </w:tcPr>
          <w:p w14:paraId="1B06F18D">
            <w:pPr>
              <w:jc w:val="center"/>
              <w:rPr>
                <w:rFonts w:hint="eastAsia" w:ascii="仿宋_GB2312" w:hAnsi="仿宋_GB2312" w:eastAsia="仿宋_GB2312" w:cs="仿宋_GB2312"/>
                <w:i w:val="0"/>
                <w:iCs w:val="0"/>
                <w:color w:val="000000"/>
                <w:sz w:val="21"/>
                <w:szCs w:val="21"/>
                <w:u w:val="none"/>
              </w:rPr>
            </w:pPr>
          </w:p>
        </w:tc>
        <w:tc>
          <w:tcPr>
            <w:tcW w:w="4535"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2949C734">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其中：应届毕业生满意度</w:t>
            </w:r>
          </w:p>
        </w:tc>
        <w:tc>
          <w:tcPr>
            <w:tcW w:w="1023"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12D7ECF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95.77%</w:t>
            </w:r>
          </w:p>
        </w:tc>
        <w:tc>
          <w:tcPr>
            <w:tcW w:w="1122" w:type="dxa"/>
            <w:tcBorders>
              <w:top w:val="single" w:color="FFFFFF" w:sz="4" w:space="0"/>
              <w:left w:val="single" w:color="FFFFFF" w:sz="4" w:space="0"/>
              <w:bottom w:val="single" w:color="FFFFFF" w:sz="4" w:space="0"/>
              <w:right w:val="nil"/>
            </w:tcBorders>
            <w:shd w:val="clear" w:color="D9E1F4" w:fill="D9E1F4"/>
            <w:vAlign w:val="center"/>
          </w:tcPr>
          <w:p w14:paraId="625EADF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4681</w:t>
            </w:r>
          </w:p>
        </w:tc>
      </w:tr>
      <w:tr w14:paraId="13BE3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0" w:type="auto"/>
            <w:vMerge w:val="continue"/>
            <w:tcBorders>
              <w:top w:val="single" w:color="FFFFFF" w:sz="4" w:space="0"/>
              <w:left w:val="nil"/>
              <w:bottom w:val="single" w:color="FFFFFF" w:sz="4" w:space="0"/>
              <w:right w:val="single" w:color="FFFFFF" w:sz="4" w:space="0"/>
            </w:tcBorders>
            <w:shd w:val="clear" w:color="B5C6EA" w:fill="B5C6EA"/>
            <w:noWrap/>
            <w:vAlign w:val="center"/>
          </w:tcPr>
          <w:p w14:paraId="5E89418F">
            <w:pPr>
              <w:jc w:val="center"/>
              <w:rPr>
                <w:rFonts w:hint="eastAsia" w:ascii="仿宋_GB2312" w:hAnsi="仿宋_GB2312" w:eastAsia="仿宋_GB2312" w:cs="仿宋_GB2312"/>
                <w:i w:val="0"/>
                <w:iCs w:val="0"/>
                <w:color w:val="000000"/>
                <w:sz w:val="21"/>
                <w:szCs w:val="21"/>
                <w:u w:val="none"/>
              </w:rPr>
            </w:pPr>
          </w:p>
        </w:tc>
        <w:tc>
          <w:tcPr>
            <w:tcW w:w="4535"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7CE09CBB">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      毕业三年内毕业生满意度</w:t>
            </w:r>
          </w:p>
        </w:tc>
        <w:tc>
          <w:tcPr>
            <w:tcW w:w="1023"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59FF893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95.06%</w:t>
            </w:r>
          </w:p>
        </w:tc>
        <w:tc>
          <w:tcPr>
            <w:tcW w:w="1122" w:type="dxa"/>
            <w:tcBorders>
              <w:top w:val="single" w:color="FFFFFF" w:sz="4" w:space="0"/>
              <w:left w:val="single" w:color="FFFFFF" w:sz="4" w:space="0"/>
              <w:bottom w:val="single" w:color="FFFFFF" w:sz="4" w:space="0"/>
              <w:right w:val="nil"/>
            </w:tcBorders>
            <w:shd w:val="clear" w:color="B5C6EA" w:fill="B5C6EA"/>
            <w:vAlign w:val="center"/>
          </w:tcPr>
          <w:p w14:paraId="3A2B30E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6350</w:t>
            </w:r>
          </w:p>
        </w:tc>
      </w:tr>
      <w:tr w14:paraId="0E9FB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5703D2A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教职工</w:t>
            </w:r>
          </w:p>
        </w:tc>
        <w:tc>
          <w:tcPr>
            <w:tcW w:w="4535"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21551D3E">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教职工满意度</w:t>
            </w:r>
          </w:p>
        </w:tc>
        <w:tc>
          <w:tcPr>
            <w:tcW w:w="1023"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6427CC5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98.03%</w:t>
            </w:r>
          </w:p>
        </w:tc>
        <w:tc>
          <w:tcPr>
            <w:tcW w:w="1122" w:type="dxa"/>
            <w:tcBorders>
              <w:top w:val="single" w:color="FFFFFF" w:sz="4" w:space="0"/>
              <w:left w:val="single" w:color="FFFFFF" w:sz="4" w:space="0"/>
              <w:bottom w:val="single" w:color="FFFFFF" w:sz="4" w:space="0"/>
              <w:right w:val="nil"/>
            </w:tcBorders>
            <w:shd w:val="clear" w:color="D9E1F4" w:fill="D9E1F4"/>
            <w:vAlign w:val="center"/>
          </w:tcPr>
          <w:p w14:paraId="6C64BC6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2257</w:t>
            </w:r>
          </w:p>
        </w:tc>
      </w:tr>
      <w:tr w14:paraId="0047E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4D1859C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用人单位</w:t>
            </w:r>
          </w:p>
        </w:tc>
        <w:tc>
          <w:tcPr>
            <w:tcW w:w="4535"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6577D713">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用人单位满意度</w:t>
            </w:r>
          </w:p>
        </w:tc>
        <w:tc>
          <w:tcPr>
            <w:tcW w:w="1023"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1E18379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95.53%</w:t>
            </w:r>
          </w:p>
        </w:tc>
        <w:tc>
          <w:tcPr>
            <w:tcW w:w="1122" w:type="dxa"/>
            <w:tcBorders>
              <w:top w:val="single" w:color="FFFFFF" w:sz="4" w:space="0"/>
              <w:left w:val="single" w:color="FFFFFF" w:sz="4" w:space="0"/>
              <w:bottom w:val="single" w:color="FFFFFF" w:sz="4" w:space="0"/>
              <w:right w:val="nil"/>
            </w:tcBorders>
            <w:shd w:val="clear" w:color="B5C6EA" w:fill="B5C6EA"/>
            <w:vAlign w:val="center"/>
          </w:tcPr>
          <w:p w14:paraId="1E286CA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1343</w:t>
            </w:r>
          </w:p>
        </w:tc>
      </w:tr>
      <w:tr w14:paraId="3F191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0" w:type="auto"/>
            <w:tcBorders>
              <w:top w:val="single" w:color="FFFFFF" w:sz="4" w:space="0"/>
              <w:left w:val="nil"/>
              <w:bottom w:val="nil"/>
              <w:right w:val="single" w:color="FFFFFF" w:sz="4" w:space="0"/>
            </w:tcBorders>
            <w:shd w:val="clear" w:color="D9E1F4" w:fill="D9E1F4"/>
            <w:noWrap/>
            <w:vAlign w:val="center"/>
          </w:tcPr>
          <w:p w14:paraId="2A1790B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家长</w:t>
            </w:r>
          </w:p>
        </w:tc>
        <w:tc>
          <w:tcPr>
            <w:tcW w:w="4535" w:type="dxa"/>
            <w:tcBorders>
              <w:top w:val="single" w:color="FFFFFF" w:sz="4" w:space="0"/>
              <w:left w:val="single" w:color="FFFFFF" w:sz="4" w:space="0"/>
              <w:bottom w:val="nil"/>
              <w:right w:val="single" w:color="FFFFFF" w:sz="4" w:space="0"/>
            </w:tcBorders>
            <w:shd w:val="clear" w:color="D9E1F4" w:fill="D9E1F4"/>
            <w:vAlign w:val="center"/>
          </w:tcPr>
          <w:p w14:paraId="262E433C">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家长满意度</w:t>
            </w:r>
          </w:p>
        </w:tc>
        <w:tc>
          <w:tcPr>
            <w:tcW w:w="1023" w:type="dxa"/>
            <w:tcBorders>
              <w:top w:val="single" w:color="FFFFFF" w:sz="4" w:space="0"/>
              <w:left w:val="single" w:color="FFFFFF" w:sz="4" w:space="0"/>
              <w:bottom w:val="nil"/>
              <w:right w:val="single" w:color="FFFFFF" w:sz="4" w:space="0"/>
            </w:tcBorders>
            <w:shd w:val="clear" w:color="D9E1F4" w:fill="D9E1F4"/>
            <w:vAlign w:val="center"/>
          </w:tcPr>
          <w:p w14:paraId="3413A5F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96.07%</w:t>
            </w:r>
          </w:p>
        </w:tc>
        <w:tc>
          <w:tcPr>
            <w:tcW w:w="1122" w:type="dxa"/>
            <w:tcBorders>
              <w:top w:val="single" w:color="FFFFFF" w:sz="4" w:space="0"/>
              <w:left w:val="single" w:color="FFFFFF" w:sz="4" w:space="0"/>
              <w:bottom w:val="nil"/>
              <w:right w:val="nil"/>
            </w:tcBorders>
            <w:shd w:val="clear" w:color="D9E1F4" w:fill="D9E1F4"/>
            <w:vAlign w:val="center"/>
          </w:tcPr>
          <w:p w14:paraId="70C97DC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11830</w:t>
            </w:r>
          </w:p>
        </w:tc>
      </w:tr>
    </w:tbl>
    <w:p w14:paraId="5892C54A">
      <w:pPr>
        <w:pStyle w:val="16"/>
        <w:rPr>
          <w:rFonts w:hint="default"/>
          <w:lang w:val="en-US" w:eastAsia="zh-CN"/>
        </w:rPr>
      </w:pPr>
    </w:p>
    <w:p w14:paraId="6EFD0E99">
      <w:pPr>
        <w:pStyle w:val="36"/>
        <w:bidi w:val="0"/>
        <w:rPr>
          <w:rFonts w:hint="default"/>
          <w:lang w:val="en-US" w:eastAsia="zh-CN"/>
        </w:rPr>
      </w:pPr>
      <w:bookmarkStart w:id="44" w:name="_Toc10292"/>
      <w:bookmarkStart w:id="45" w:name="_Toc7429"/>
      <w:r>
        <w:rPr>
          <w:rFonts w:hint="default"/>
          <w:lang w:val="en-US" w:eastAsia="zh-CN"/>
        </w:rPr>
        <w:t>2.4</w:t>
      </w:r>
      <w:r>
        <w:rPr>
          <w:rFonts w:hint="eastAsia"/>
          <w:lang w:val="en-US" w:eastAsia="zh-CN"/>
        </w:rPr>
        <w:t xml:space="preserve"> </w:t>
      </w:r>
      <w:r>
        <w:rPr>
          <w:rFonts w:hint="default"/>
          <w:lang w:val="en-US" w:eastAsia="zh-CN"/>
        </w:rPr>
        <w:t>就业质量</w:t>
      </w:r>
      <w:bookmarkEnd w:id="44"/>
      <w:bookmarkEnd w:id="45"/>
    </w:p>
    <w:p w14:paraId="21B78E30">
      <w:pPr>
        <w:pStyle w:val="16"/>
        <w:rPr>
          <w:rFonts w:hint="default"/>
          <w:lang w:val="en-US" w:eastAsia="zh-CN"/>
        </w:rPr>
      </w:pPr>
      <w:r>
        <w:rPr>
          <w:rFonts w:hint="default"/>
          <w:lang w:val="en-US" w:eastAsia="zh-CN"/>
        </w:rPr>
        <w:t>我市中职教育定位的调整，正从原来单纯的“以就业为导向”转变为“就业与升学并重”。202</w:t>
      </w:r>
      <w:r>
        <w:rPr>
          <w:rFonts w:hint="eastAsia"/>
          <w:lang w:val="en-US" w:eastAsia="zh-CN"/>
        </w:rPr>
        <w:t>3</w:t>
      </w:r>
      <w:r>
        <w:rPr>
          <w:rFonts w:hint="default"/>
          <w:lang w:val="en-US" w:eastAsia="zh-CN"/>
        </w:rPr>
        <w:t>年全市中等职业学校共有毕业生1</w:t>
      </w:r>
      <w:r>
        <w:rPr>
          <w:rFonts w:hint="eastAsia"/>
          <w:lang w:val="en-US" w:eastAsia="zh-CN"/>
        </w:rPr>
        <w:t>0129</w:t>
      </w:r>
      <w:r>
        <w:rPr>
          <w:rFonts w:hint="default"/>
          <w:lang w:val="en-US" w:eastAsia="zh-CN"/>
        </w:rPr>
        <w:t>人，签订就业协议就业、自主创业、灵活就业、参军、出国劳务和升学毕业生</w:t>
      </w:r>
      <w:r>
        <w:rPr>
          <w:rFonts w:hint="eastAsia"/>
          <w:lang w:val="en-US" w:eastAsia="zh-CN"/>
        </w:rPr>
        <w:t>等去向落实人数为9664人。</w:t>
      </w:r>
      <w:r>
        <w:rPr>
          <w:rFonts w:hint="default"/>
          <w:lang w:val="en-US" w:eastAsia="zh-CN"/>
        </w:rPr>
        <w:t>其中</w:t>
      </w:r>
      <w:r>
        <w:rPr>
          <w:rFonts w:hint="eastAsia"/>
          <w:lang w:val="en-US" w:eastAsia="zh-CN"/>
        </w:rPr>
        <w:t>落实去向为本省的人数为8526人，本省去向落实率为88.22%；</w:t>
      </w:r>
      <w:r>
        <w:rPr>
          <w:rFonts w:hint="default"/>
          <w:lang w:val="en-US" w:eastAsia="zh-CN"/>
        </w:rPr>
        <w:t>升学</w:t>
      </w:r>
      <w:r>
        <w:rPr>
          <w:rFonts w:hint="eastAsia"/>
          <w:lang w:val="en-US" w:eastAsia="zh-CN"/>
        </w:rPr>
        <w:t>7055</w:t>
      </w:r>
      <w:r>
        <w:rPr>
          <w:rFonts w:hint="default"/>
          <w:lang w:val="en-US" w:eastAsia="zh-CN"/>
        </w:rPr>
        <w:t>人，就业</w:t>
      </w:r>
      <w:r>
        <w:rPr>
          <w:rFonts w:hint="eastAsia"/>
          <w:lang w:val="en-US" w:eastAsia="zh-CN"/>
        </w:rPr>
        <w:t>1868</w:t>
      </w:r>
      <w:r>
        <w:rPr>
          <w:rFonts w:hint="default"/>
          <w:lang w:val="en-US" w:eastAsia="zh-CN"/>
        </w:rPr>
        <w:t>人</w:t>
      </w:r>
      <w:r>
        <w:rPr>
          <w:rFonts w:hint="eastAsia"/>
          <w:lang w:val="en-US" w:eastAsia="zh-CN"/>
        </w:rPr>
        <w:t>，创业224人；</w:t>
      </w:r>
      <w:r>
        <w:rPr>
          <w:rFonts w:hint="default"/>
          <w:lang w:val="en-US" w:eastAsia="zh-CN"/>
        </w:rPr>
        <w:t>选择就业的毕业生中，在规模以上企业就业人数为</w:t>
      </w:r>
      <w:r>
        <w:rPr>
          <w:rFonts w:hint="eastAsia"/>
          <w:lang w:val="en-US" w:eastAsia="zh-CN"/>
        </w:rPr>
        <w:t>285</w:t>
      </w:r>
      <w:r>
        <w:rPr>
          <w:rFonts w:hint="default"/>
          <w:lang w:val="en-US" w:eastAsia="zh-CN"/>
        </w:rPr>
        <w:t>人，在中小微企业就业人数为</w:t>
      </w:r>
      <w:r>
        <w:rPr>
          <w:rFonts w:hint="eastAsia"/>
          <w:lang w:val="en-US" w:eastAsia="zh-CN"/>
        </w:rPr>
        <w:t>1513</w:t>
      </w:r>
      <w:r>
        <w:rPr>
          <w:rFonts w:hint="default"/>
          <w:lang w:val="en-US" w:eastAsia="zh-CN"/>
        </w:rPr>
        <w:t>人</w:t>
      </w:r>
      <w:r>
        <w:rPr>
          <w:rFonts w:hint="eastAsia"/>
          <w:lang w:val="en-US" w:eastAsia="zh-CN"/>
        </w:rPr>
        <w:t>；</w:t>
      </w:r>
      <w:r>
        <w:rPr>
          <w:rFonts w:hint="default"/>
          <w:lang w:val="en-US" w:eastAsia="zh-CN"/>
        </w:rPr>
        <w:t>专业对口率为</w:t>
      </w:r>
      <w:r>
        <w:rPr>
          <w:rFonts w:hint="eastAsia"/>
          <w:lang w:val="en-US" w:eastAsia="zh-CN"/>
        </w:rPr>
        <w:t>83.94</w:t>
      </w:r>
      <w:r>
        <w:rPr>
          <w:rFonts w:hint="default"/>
          <w:lang w:val="en-US" w:eastAsia="zh-CN"/>
        </w:rPr>
        <w:t>%。就业单位满意率方面，综合满意度为9</w:t>
      </w:r>
      <w:r>
        <w:rPr>
          <w:rFonts w:hint="eastAsia"/>
          <w:lang w:val="en-US" w:eastAsia="zh-CN"/>
        </w:rPr>
        <w:t>5.68</w:t>
      </w:r>
      <w:r>
        <w:rPr>
          <w:rFonts w:hint="default"/>
          <w:lang w:val="en-US" w:eastAsia="zh-CN"/>
        </w:rPr>
        <w:t>%，</w:t>
      </w:r>
      <w:r>
        <w:rPr>
          <w:rFonts w:hint="eastAsia"/>
          <w:lang w:val="en-US" w:eastAsia="zh-CN"/>
        </w:rPr>
        <w:t>其中</w:t>
      </w:r>
      <w:r>
        <w:rPr>
          <w:rFonts w:hint="default"/>
          <w:lang w:val="en-US" w:eastAsia="zh-CN"/>
        </w:rPr>
        <w:t>对毕业生职业素养的满意度为</w:t>
      </w:r>
      <w:r>
        <w:rPr>
          <w:rFonts w:hint="eastAsia"/>
          <w:lang w:val="en-US" w:eastAsia="zh-CN"/>
        </w:rPr>
        <w:t>96.32</w:t>
      </w:r>
      <w:r>
        <w:rPr>
          <w:rFonts w:hint="default"/>
          <w:lang w:val="en-US" w:eastAsia="zh-CN"/>
        </w:rPr>
        <w:t>%，对毕业生职业能力的满意度为95.</w:t>
      </w:r>
      <w:r>
        <w:rPr>
          <w:rFonts w:hint="eastAsia"/>
          <w:lang w:val="en-US" w:eastAsia="zh-CN"/>
        </w:rPr>
        <w:t>03</w:t>
      </w:r>
      <w:r>
        <w:rPr>
          <w:rFonts w:hint="default"/>
          <w:lang w:val="en-US" w:eastAsia="zh-CN"/>
        </w:rPr>
        <w:t>%，均保持在较高水平。</w:t>
      </w:r>
    </w:p>
    <w:p w14:paraId="0F43E4C8">
      <w:pPr>
        <w:pStyle w:val="38"/>
        <w:bidi w:val="0"/>
        <w:rPr>
          <w:rFonts w:hint="default"/>
          <w:lang w:val="en-US" w:eastAsia="zh-CN"/>
        </w:rPr>
      </w:pPr>
      <w:bookmarkStart w:id="46" w:name="_Toc22406"/>
      <w:r>
        <w:rPr>
          <w:rFonts w:hint="default"/>
          <w:lang w:val="en-US" w:eastAsia="zh-CN"/>
        </w:rPr>
        <w:t>表</w:t>
      </w:r>
      <w:r>
        <w:rPr>
          <w:rFonts w:hint="eastAsia"/>
          <w:lang w:val="en-US" w:eastAsia="zh-CN"/>
        </w:rPr>
        <w:t>6</w:t>
      </w:r>
      <w:r>
        <w:rPr>
          <w:rFonts w:hint="default"/>
          <w:lang w:val="en-US" w:eastAsia="zh-CN"/>
        </w:rPr>
        <w:t>：</w:t>
      </w:r>
      <w:r>
        <w:rPr>
          <w:rFonts w:hint="eastAsia"/>
          <w:lang w:val="en-US" w:eastAsia="zh-CN"/>
        </w:rPr>
        <w:t>中职毕业生</w:t>
      </w:r>
      <w:r>
        <w:rPr>
          <w:rFonts w:hint="default"/>
          <w:lang w:val="en-US" w:eastAsia="zh-CN"/>
        </w:rPr>
        <w:t>历年就业情况统计表</w:t>
      </w:r>
      <w:bookmarkEnd w:id="46"/>
    </w:p>
    <w:tbl>
      <w:tblPr>
        <w:tblStyle w:val="13"/>
        <w:tblpPr w:leftFromText="180" w:rightFromText="180" w:vertAnchor="text" w:horzAnchor="page" w:tblpX="1737" w:tblpY="301"/>
        <w:tblOverlap w:val="never"/>
        <w:tblW w:w="86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1080"/>
        <w:gridCol w:w="1080"/>
        <w:gridCol w:w="1080"/>
        <w:gridCol w:w="1080"/>
        <w:gridCol w:w="1080"/>
        <w:gridCol w:w="1080"/>
      </w:tblGrid>
      <w:tr w14:paraId="3C6C9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1080" w:type="dxa"/>
            <w:tcBorders>
              <w:top w:val="nil"/>
              <w:left w:val="nil"/>
              <w:bottom w:val="single" w:color="FFFFFF" w:sz="12" w:space="0"/>
              <w:right w:val="single" w:color="FFFFFF" w:sz="4" w:space="0"/>
            </w:tcBorders>
            <w:shd w:val="clear" w:color="4874CB" w:fill="4874CB"/>
            <w:vAlign w:val="center"/>
          </w:tcPr>
          <w:p w14:paraId="2C190460">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年份</w:t>
            </w:r>
          </w:p>
        </w:tc>
        <w:tc>
          <w:tcPr>
            <w:tcW w:w="1080" w:type="dxa"/>
            <w:tcBorders>
              <w:top w:val="nil"/>
              <w:left w:val="single" w:color="FFFFFF" w:sz="4" w:space="0"/>
              <w:bottom w:val="single" w:color="FFFFFF" w:sz="12" w:space="0"/>
              <w:right w:val="single" w:color="FFFFFF" w:sz="4" w:space="0"/>
            </w:tcBorders>
            <w:shd w:val="clear" w:color="4874CB" w:fill="4874CB"/>
            <w:vAlign w:val="center"/>
          </w:tcPr>
          <w:p w14:paraId="0A6DA13A">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毕业生数</w:t>
            </w:r>
          </w:p>
        </w:tc>
        <w:tc>
          <w:tcPr>
            <w:tcW w:w="1080" w:type="dxa"/>
            <w:tcBorders>
              <w:top w:val="nil"/>
              <w:left w:val="single" w:color="FFFFFF" w:sz="4" w:space="0"/>
              <w:bottom w:val="single" w:color="FFFFFF" w:sz="12" w:space="0"/>
              <w:right w:val="single" w:color="FFFFFF" w:sz="4" w:space="0"/>
            </w:tcBorders>
            <w:shd w:val="clear" w:color="4874CB" w:fill="4874CB"/>
            <w:vAlign w:val="center"/>
          </w:tcPr>
          <w:p w14:paraId="3251531F">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就业人数（含升学）</w:t>
            </w:r>
          </w:p>
        </w:tc>
        <w:tc>
          <w:tcPr>
            <w:tcW w:w="1080" w:type="dxa"/>
            <w:tcBorders>
              <w:top w:val="nil"/>
              <w:left w:val="single" w:color="FFFFFF" w:sz="4" w:space="0"/>
              <w:bottom w:val="single" w:color="FFFFFF" w:sz="12" w:space="0"/>
              <w:right w:val="single" w:color="FFFFFF" w:sz="4" w:space="0"/>
            </w:tcBorders>
            <w:shd w:val="clear" w:color="4874CB" w:fill="4874CB"/>
            <w:vAlign w:val="center"/>
          </w:tcPr>
          <w:p w14:paraId="6FED30DB">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在规模以上企业就业人数</w:t>
            </w:r>
          </w:p>
        </w:tc>
        <w:tc>
          <w:tcPr>
            <w:tcW w:w="1080" w:type="dxa"/>
            <w:tcBorders>
              <w:top w:val="nil"/>
              <w:left w:val="single" w:color="FFFFFF" w:sz="4" w:space="0"/>
              <w:bottom w:val="single" w:color="FFFFFF" w:sz="12" w:space="0"/>
              <w:right w:val="single" w:color="FFFFFF" w:sz="4" w:space="0"/>
            </w:tcBorders>
            <w:shd w:val="clear" w:color="4874CB" w:fill="4874CB"/>
            <w:vAlign w:val="center"/>
          </w:tcPr>
          <w:p w14:paraId="1A513676">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在中小微企业就业人数</w:t>
            </w:r>
          </w:p>
        </w:tc>
        <w:tc>
          <w:tcPr>
            <w:tcW w:w="1080" w:type="dxa"/>
            <w:tcBorders>
              <w:top w:val="nil"/>
              <w:left w:val="single" w:color="FFFFFF" w:sz="4" w:space="0"/>
              <w:bottom w:val="single" w:color="FFFFFF" w:sz="12" w:space="0"/>
              <w:right w:val="single" w:color="FFFFFF" w:sz="4" w:space="0"/>
            </w:tcBorders>
            <w:shd w:val="clear" w:color="4874CB" w:fill="4874CB"/>
            <w:vAlign w:val="center"/>
          </w:tcPr>
          <w:p w14:paraId="60AD77C4">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专业对口就业率</w:t>
            </w:r>
          </w:p>
        </w:tc>
        <w:tc>
          <w:tcPr>
            <w:tcW w:w="1080" w:type="dxa"/>
            <w:tcBorders>
              <w:top w:val="nil"/>
              <w:left w:val="single" w:color="FFFFFF" w:sz="4" w:space="0"/>
              <w:bottom w:val="single" w:color="FFFFFF" w:sz="12" w:space="0"/>
              <w:right w:val="single" w:color="FFFFFF" w:sz="4" w:space="0"/>
            </w:tcBorders>
            <w:shd w:val="clear" w:color="4874CB" w:fill="4874CB"/>
            <w:vAlign w:val="center"/>
          </w:tcPr>
          <w:p w14:paraId="353B3D8B">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就业单位对毕业生职业素养的满意度</w:t>
            </w:r>
          </w:p>
        </w:tc>
        <w:tc>
          <w:tcPr>
            <w:tcW w:w="1080" w:type="dxa"/>
            <w:tcBorders>
              <w:top w:val="nil"/>
              <w:left w:val="single" w:color="FFFFFF" w:sz="4" w:space="0"/>
              <w:bottom w:val="single" w:color="FFFFFF" w:sz="12" w:space="0"/>
              <w:right w:val="nil"/>
            </w:tcBorders>
            <w:shd w:val="clear" w:color="4874CB" w:fill="4874CB"/>
            <w:vAlign w:val="center"/>
          </w:tcPr>
          <w:p w14:paraId="4E5B2F91">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就业单位对毕业生职业能力的满意度</w:t>
            </w:r>
          </w:p>
        </w:tc>
      </w:tr>
      <w:tr w14:paraId="3A97A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FFFFFF" w:sz="12" w:space="0"/>
              <w:left w:val="nil"/>
              <w:bottom w:val="single" w:color="FFFFFF" w:sz="4" w:space="0"/>
              <w:right w:val="single" w:color="FFFFFF" w:sz="4" w:space="0"/>
            </w:tcBorders>
            <w:shd w:val="clear" w:color="B5C6EA" w:fill="B5C6EA"/>
            <w:vAlign w:val="center"/>
          </w:tcPr>
          <w:p w14:paraId="5598643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2020</w:t>
            </w:r>
          </w:p>
        </w:tc>
        <w:tc>
          <w:tcPr>
            <w:tcW w:w="1080" w:type="dxa"/>
            <w:tcBorders>
              <w:top w:val="single" w:color="FFFFFF" w:sz="12" w:space="0"/>
              <w:left w:val="single" w:color="FFFFFF" w:sz="4" w:space="0"/>
              <w:bottom w:val="single" w:color="FFFFFF" w:sz="4" w:space="0"/>
              <w:right w:val="single" w:color="FFFFFF" w:sz="4" w:space="0"/>
            </w:tcBorders>
            <w:shd w:val="clear" w:color="B5C6EA" w:fill="B5C6EA"/>
            <w:vAlign w:val="center"/>
          </w:tcPr>
          <w:p w14:paraId="0FF0C09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7364</w:t>
            </w:r>
          </w:p>
        </w:tc>
        <w:tc>
          <w:tcPr>
            <w:tcW w:w="1080" w:type="dxa"/>
            <w:tcBorders>
              <w:top w:val="single" w:color="FFFFFF" w:sz="12" w:space="0"/>
              <w:left w:val="single" w:color="FFFFFF" w:sz="4" w:space="0"/>
              <w:bottom w:val="single" w:color="FFFFFF" w:sz="4" w:space="0"/>
              <w:right w:val="single" w:color="FFFFFF" w:sz="4" w:space="0"/>
            </w:tcBorders>
            <w:shd w:val="clear" w:color="B5C6EA" w:fill="B5C6EA"/>
            <w:vAlign w:val="center"/>
          </w:tcPr>
          <w:p w14:paraId="4F35DA0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7268</w:t>
            </w:r>
          </w:p>
        </w:tc>
        <w:tc>
          <w:tcPr>
            <w:tcW w:w="1080" w:type="dxa"/>
            <w:tcBorders>
              <w:top w:val="single" w:color="FFFFFF" w:sz="12" w:space="0"/>
              <w:left w:val="single" w:color="FFFFFF" w:sz="4" w:space="0"/>
              <w:bottom w:val="single" w:color="FFFFFF" w:sz="4" w:space="0"/>
              <w:right w:val="single" w:color="FFFFFF" w:sz="4" w:space="0"/>
            </w:tcBorders>
            <w:shd w:val="clear" w:color="B5C6EA" w:fill="B5C6EA"/>
            <w:vAlign w:val="center"/>
          </w:tcPr>
          <w:p w14:paraId="107962B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1557</w:t>
            </w:r>
          </w:p>
        </w:tc>
        <w:tc>
          <w:tcPr>
            <w:tcW w:w="1080" w:type="dxa"/>
            <w:tcBorders>
              <w:top w:val="single" w:color="FFFFFF" w:sz="12" w:space="0"/>
              <w:left w:val="single" w:color="FFFFFF" w:sz="4" w:space="0"/>
              <w:bottom w:val="single" w:color="FFFFFF" w:sz="4" w:space="0"/>
              <w:right w:val="single" w:color="FFFFFF" w:sz="4" w:space="0"/>
            </w:tcBorders>
            <w:shd w:val="clear" w:color="B5C6EA" w:fill="B5C6EA"/>
            <w:vAlign w:val="center"/>
          </w:tcPr>
          <w:p w14:paraId="43A8446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1595</w:t>
            </w:r>
          </w:p>
        </w:tc>
        <w:tc>
          <w:tcPr>
            <w:tcW w:w="1080" w:type="dxa"/>
            <w:tcBorders>
              <w:top w:val="single" w:color="FFFFFF" w:sz="12" w:space="0"/>
              <w:left w:val="single" w:color="FFFFFF" w:sz="4" w:space="0"/>
              <w:bottom w:val="single" w:color="FFFFFF" w:sz="4" w:space="0"/>
              <w:right w:val="single" w:color="FFFFFF" w:sz="4" w:space="0"/>
            </w:tcBorders>
            <w:shd w:val="clear" w:color="B5C6EA" w:fill="B5C6EA"/>
            <w:vAlign w:val="center"/>
          </w:tcPr>
          <w:p w14:paraId="2D651D0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75.30%</w:t>
            </w:r>
          </w:p>
        </w:tc>
        <w:tc>
          <w:tcPr>
            <w:tcW w:w="1080" w:type="dxa"/>
            <w:tcBorders>
              <w:top w:val="single" w:color="FFFFFF" w:sz="12" w:space="0"/>
              <w:left w:val="single" w:color="FFFFFF" w:sz="4" w:space="0"/>
              <w:bottom w:val="single" w:color="FFFFFF" w:sz="4" w:space="0"/>
              <w:right w:val="single" w:color="FFFFFF" w:sz="4" w:space="0"/>
            </w:tcBorders>
            <w:shd w:val="clear" w:color="B5C6EA" w:fill="B5C6EA"/>
            <w:vAlign w:val="center"/>
          </w:tcPr>
          <w:p w14:paraId="3EB1518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86.20%</w:t>
            </w:r>
          </w:p>
        </w:tc>
        <w:tc>
          <w:tcPr>
            <w:tcW w:w="1080" w:type="dxa"/>
            <w:tcBorders>
              <w:top w:val="single" w:color="FFFFFF" w:sz="12" w:space="0"/>
              <w:left w:val="single" w:color="FFFFFF" w:sz="4" w:space="0"/>
              <w:bottom w:val="single" w:color="FFFFFF" w:sz="4" w:space="0"/>
              <w:right w:val="nil"/>
            </w:tcBorders>
            <w:shd w:val="clear" w:color="B5C6EA" w:fill="B5C6EA"/>
            <w:vAlign w:val="center"/>
          </w:tcPr>
          <w:p w14:paraId="6648DA5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85.30%</w:t>
            </w:r>
          </w:p>
        </w:tc>
      </w:tr>
      <w:tr w14:paraId="465B4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FFFFFF" w:sz="4" w:space="0"/>
              <w:left w:val="nil"/>
              <w:bottom w:val="single" w:color="FFFFFF" w:sz="4" w:space="0"/>
              <w:right w:val="single" w:color="FFFFFF" w:sz="4" w:space="0"/>
            </w:tcBorders>
            <w:shd w:val="clear" w:color="D9E1F4" w:fill="D9E1F4"/>
            <w:vAlign w:val="center"/>
          </w:tcPr>
          <w:p w14:paraId="7175ABB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2021</w:t>
            </w:r>
          </w:p>
        </w:tc>
        <w:tc>
          <w:tcPr>
            <w:tcW w:w="1080"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2BCD3FA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7948</w:t>
            </w:r>
          </w:p>
        </w:tc>
        <w:tc>
          <w:tcPr>
            <w:tcW w:w="1080"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1F4E29F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7874</w:t>
            </w:r>
          </w:p>
        </w:tc>
        <w:tc>
          <w:tcPr>
            <w:tcW w:w="1080"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1FB6FB5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1454</w:t>
            </w:r>
          </w:p>
        </w:tc>
        <w:tc>
          <w:tcPr>
            <w:tcW w:w="1080"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2179306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1740</w:t>
            </w:r>
          </w:p>
        </w:tc>
        <w:tc>
          <w:tcPr>
            <w:tcW w:w="1080"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0D4A717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86.40%</w:t>
            </w:r>
          </w:p>
        </w:tc>
        <w:tc>
          <w:tcPr>
            <w:tcW w:w="1080"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721F9E5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96.50%</w:t>
            </w:r>
          </w:p>
        </w:tc>
        <w:tc>
          <w:tcPr>
            <w:tcW w:w="1080" w:type="dxa"/>
            <w:tcBorders>
              <w:top w:val="single" w:color="FFFFFF" w:sz="4" w:space="0"/>
              <w:left w:val="single" w:color="FFFFFF" w:sz="4" w:space="0"/>
              <w:bottom w:val="single" w:color="FFFFFF" w:sz="4" w:space="0"/>
              <w:right w:val="nil"/>
            </w:tcBorders>
            <w:shd w:val="clear" w:color="D9E1F4" w:fill="D9E1F4"/>
            <w:vAlign w:val="center"/>
          </w:tcPr>
          <w:p w14:paraId="3349B3B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96.10%</w:t>
            </w:r>
          </w:p>
        </w:tc>
      </w:tr>
      <w:tr w14:paraId="77445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FFFFFF" w:sz="4" w:space="0"/>
              <w:left w:val="nil"/>
              <w:bottom w:val="single" w:color="FFFFFF" w:sz="4" w:space="0"/>
              <w:right w:val="single" w:color="FFFFFF" w:sz="4" w:space="0"/>
            </w:tcBorders>
            <w:shd w:val="clear" w:color="B5C6EA" w:fill="B5C6EA"/>
            <w:noWrap/>
            <w:vAlign w:val="center"/>
          </w:tcPr>
          <w:p w14:paraId="5A18F16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2022</w:t>
            </w:r>
          </w:p>
        </w:tc>
        <w:tc>
          <w:tcPr>
            <w:tcW w:w="1080" w:type="dxa"/>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225B1B5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11105</w:t>
            </w:r>
          </w:p>
        </w:tc>
        <w:tc>
          <w:tcPr>
            <w:tcW w:w="1080" w:type="dxa"/>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F1D711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11053</w:t>
            </w:r>
          </w:p>
        </w:tc>
        <w:tc>
          <w:tcPr>
            <w:tcW w:w="1080" w:type="dxa"/>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2D2AFEA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1589</w:t>
            </w:r>
          </w:p>
        </w:tc>
        <w:tc>
          <w:tcPr>
            <w:tcW w:w="1080" w:type="dxa"/>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B32BFF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1629</w:t>
            </w:r>
          </w:p>
        </w:tc>
        <w:tc>
          <w:tcPr>
            <w:tcW w:w="1080" w:type="dxa"/>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428DE5D3">
            <w:pPr>
              <w:keepNext w:val="0"/>
              <w:keepLines w:val="0"/>
              <w:widowControl/>
              <w:suppressLineNumbers w:val="0"/>
              <w:jc w:val="center"/>
              <w:textAlignment w:val="center"/>
              <w:rPr>
                <w:rFonts w:hint="default" w:ascii="仿宋_GB2312" w:hAnsi="仿宋_GB2312" w:eastAsia="仿宋_GB2312" w:cs="仿宋_GB2312"/>
                <w:i w:val="0"/>
                <w:iCs w:val="0"/>
                <w:color w:val="000000"/>
                <w:sz w:val="21"/>
                <w:szCs w:val="21"/>
                <w:u w:val="none"/>
                <w:lang w:val="en-US"/>
              </w:rPr>
            </w:pPr>
            <w:r>
              <w:rPr>
                <w:rFonts w:hint="eastAsia" w:ascii="仿宋_GB2312" w:hAnsi="仿宋_GB2312" w:eastAsia="仿宋_GB2312" w:cs="仿宋_GB2312"/>
                <w:i w:val="0"/>
                <w:iCs w:val="0"/>
                <w:color w:val="000000"/>
                <w:kern w:val="0"/>
                <w:sz w:val="21"/>
                <w:szCs w:val="21"/>
                <w:u w:val="none"/>
                <w:lang w:val="en-US" w:eastAsia="zh-CN" w:bidi="ar"/>
              </w:rPr>
              <w:t>91.19%</w:t>
            </w:r>
          </w:p>
        </w:tc>
        <w:tc>
          <w:tcPr>
            <w:tcW w:w="1080"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4F0FC39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95.10%</w:t>
            </w:r>
          </w:p>
        </w:tc>
        <w:tc>
          <w:tcPr>
            <w:tcW w:w="1080" w:type="dxa"/>
            <w:tcBorders>
              <w:top w:val="single" w:color="FFFFFF" w:sz="4" w:space="0"/>
              <w:left w:val="single" w:color="FFFFFF" w:sz="4" w:space="0"/>
              <w:bottom w:val="single" w:color="FFFFFF" w:sz="4" w:space="0"/>
              <w:right w:val="nil"/>
            </w:tcBorders>
            <w:shd w:val="clear" w:color="B5C6EA" w:fill="B5C6EA"/>
            <w:vAlign w:val="center"/>
          </w:tcPr>
          <w:p w14:paraId="32C9710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95.13%</w:t>
            </w:r>
          </w:p>
        </w:tc>
      </w:tr>
      <w:tr w14:paraId="66D6A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FFFFFF" w:sz="4" w:space="0"/>
              <w:left w:val="nil"/>
              <w:bottom w:val="nil"/>
              <w:right w:val="single" w:color="FFFFFF" w:sz="4" w:space="0"/>
            </w:tcBorders>
            <w:shd w:val="clear" w:color="D9E1F4" w:fill="D9E1F4"/>
            <w:noWrap/>
            <w:vAlign w:val="center"/>
          </w:tcPr>
          <w:p w14:paraId="121BE31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2023</w:t>
            </w:r>
          </w:p>
        </w:tc>
        <w:tc>
          <w:tcPr>
            <w:tcW w:w="1080" w:type="dxa"/>
            <w:tcBorders>
              <w:top w:val="single" w:color="FFFFFF" w:sz="4" w:space="0"/>
              <w:left w:val="single" w:color="FFFFFF" w:sz="4" w:space="0"/>
              <w:bottom w:val="nil"/>
              <w:right w:val="single" w:color="FFFFFF" w:sz="4" w:space="0"/>
            </w:tcBorders>
            <w:shd w:val="clear" w:color="D9E1F4" w:fill="D9E1F4"/>
            <w:noWrap/>
            <w:vAlign w:val="center"/>
          </w:tcPr>
          <w:p w14:paraId="55263DB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10129</w:t>
            </w:r>
          </w:p>
        </w:tc>
        <w:tc>
          <w:tcPr>
            <w:tcW w:w="1080" w:type="dxa"/>
            <w:tcBorders>
              <w:top w:val="single" w:color="FFFFFF" w:sz="4" w:space="0"/>
              <w:left w:val="single" w:color="FFFFFF" w:sz="4" w:space="0"/>
              <w:bottom w:val="nil"/>
              <w:right w:val="single" w:color="FFFFFF" w:sz="4" w:space="0"/>
            </w:tcBorders>
            <w:shd w:val="clear" w:color="D9E1F4" w:fill="D9E1F4"/>
            <w:noWrap/>
            <w:vAlign w:val="center"/>
          </w:tcPr>
          <w:p w14:paraId="1B5ED5C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8923</w:t>
            </w:r>
          </w:p>
        </w:tc>
        <w:tc>
          <w:tcPr>
            <w:tcW w:w="1080" w:type="dxa"/>
            <w:tcBorders>
              <w:top w:val="single" w:color="FFFFFF" w:sz="4" w:space="0"/>
              <w:left w:val="single" w:color="FFFFFF" w:sz="4" w:space="0"/>
              <w:bottom w:val="nil"/>
              <w:right w:val="single" w:color="FFFFFF" w:sz="4" w:space="0"/>
            </w:tcBorders>
            <w:shd w:val="clear" w:color="D9E1F4" w:fill="D9E1F4"/>
            <w:noWrap/>
            <w:vAlign w:val="center"/>
          </w:tcPr>
          <w:p w14:paraId="69430B3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285</w:t>
            </w:r>
          </w:p>
        </w:tc>
        <w:tc>
          <w:tcPr>
            <w:tcW w:w="1080" w:type="dxa"/>
            <w:tcBorders>
              <w:top w:val="single" w:color="FFFFFF" w:sz="4" w:space="0"/>
              <w:left w:val="single" w:color="FFFFFF" w:sz="4" w:space="0"/>
              <w:bottom w:val="nil"/>
              <w:right w:val="single" w:color="FFFFFF" w:sz="4" w:space="0"/>
            </w:tcBorders>
            <w:shd w:val="clear" w:color="D9E1F4" w:fill="D9E1F4"/>
            <w:noWrap/>
            <w:vAlign w:val="center"/>
          </w:tcPr>
          <w:p w14:paraId="5A3C6D6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1513</w:t>
            </w:r>
          </w:p>
        </w:tc>
        <w:tc>
          <w:tcPr>
            <w:tcW w:w="1080" w:type="dxa"/>
            <w:tcBorders>
              <w:top w:val="single" w:color="FFFFFF" w:sz="4" w:space="0"/>
              <w:left w:val="single" w:color="FFFFFF" w:sz="4" w:space="0"/>
              <w:bottom w:val="nil"/>
              <w:right w:val="single" w:color="FFFFFF" w:sz="4" w:space="0"/>
            </w:tcBorders>
            <w:shd w:val="clear" w:color="D9E1F4" w:fill="D9E1F4"/>
            <w:noWrap/>
            <w:vAlign w:val="center"/>
          </w:tcPr>
          <w:p w14:paraId="0F96C1CA">
            <w:pPr>
              <w:keepNext w:val="0"/>
              <w:keepLines w:val="0"/>
              <w:widowControl/>
              <w:suppressLineNumbers w:val="0"/>
              <w:jc w:val="center"/>
              <w:textAlignment w:val="center"/>
              <w:rPr>
                <w:rFonts w:hint="default" w:ascii="仿宋_GB2312" w:hAnsi="仿宋_GB2312" w:eastAsia="仿宋_GB2312" w:cs="仿宋_GB2312"/>
                <w:i w:val="0"/>
                <w:iCs w:val="0"/>
                <w:color w:val="000000"/>
                <w:sz w:val="21"/>
                <w:szCs w:val="21"/>
                <w:u w:val="none"/>
                <w:lang w:val="en-US"/>
              </w:rPr>
            </w:pPr>
            <w:r>
              <w:rPr>
                <w:rFonts w:hint="eastAsia" w:ascii="仿宋_GB2312" w:hAnsi="仿宋_GB2312" w:eastAsia="仿宋_GB2312" w:cs="仿宋_GB2312"/>
                <w:i w:val="0"/>
                <w:iCs w:val="0"/>
                <w:color w:val="000000"/>
                <w:kern w:val="0"/>
                <w:sz w:val="21"/>
                <w:szCs w:val="21"/>
                <w:u w:val="none"/>
                <w:lang w:val="en-US" w:eastAsia="zh-CN" w:bidi="ar"/>
              </w:rPr>
              <w:t>83.94%</w:t>
            </w:r>
          </w:p>
        </w:tc>
        <w:tc>
          <w:tcPr>
            <w:tcW w:w="1080" w:type="dxa"/>
            <w:tcBorders>
              <w:top w:val="single" w:color="FFFFFF" w:sz="4" w:space="0"/>
              <w:left w:val="single" w:color="FFFFFF" w:sz="4" w:space="0"/>
              <w:bottom w:val="nil"/>
              <w:right w:val="single" w:color="FFFFFF" w:sz="4" w:space="0"/>
            </w:tcBorders>
            <w:shd w:val="clear" w:color="D9E1F4" w:fill="D9E1F4"/>
            <w:vAlign w:val="center"/>
          </w:tcPr>
          <w:p w14:paraId="6A751A0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96.32%</w:t>
            </w:r>
          </w:p>
        </w:tc>
        <w:tc>
          <w:tcPr>
            <w:tcW w:w="1080" w:type="dxa"/>
            <w:tcBorders>
              <w:top w:val="single" w:color="FFFFFF" w:sz="4" w:space="0"/>
              <w:left w:val="single" w:color="FFFFFF" w:sz="4" w:space="0"/>
              <w:bottom w:val="nil"/>
              <w:right w:val="nil"/>
            </w:tcBorders>
            <w:shd w:val="clear" w:color="D9E1F4" w:fill="D9E1F4"/>
            <w:vAlign w:val="center"/>
          </w:tcPr>
          <w:p w14:paraId="2767FB7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95.03%</w:t>
            </w:r>
          </w:p>
        </w:tc>
      </w:tr>
    </w:tbl>
    <w:p w14:paraId="3EF8CF5B">
      <w:pPr>
        <w:pStyle w:val="16"/>
        <w:ind w:left="0" w:leftChars="0" w:firstLine="0" w:firstLineChars="0"/>
        <w:rPr>
          <w:rFonts w:hint="default"/>
          <w:lang w:val="en-US" w:eastAsia="zh-CN"/>
        </w:rPr>
      </w:pPr>
    </w:p>
    <w:p w14:paraId="7612D34A">
      <w:pPr>
        <w:pStyle w:val="16"/>
        <w:rPr>
          <w:rFonts w:hint="default"/>
          <w:lang w:val="en-US" w:eastAsia="zh-CN"/>
        </w:rPr>
      </w:pPr>
      <w:r>
        <w:rPr>
          <w:rFonts w:hint="default"/>
          <w:lang w:val="en-US" w:eastAsia="zh-CN"/>
        </w:rPr>
        <w:t>在毕业生就业方面，各中职学校依据学生的专业、特长、就业愿望，结合产业人才需求，开拓毕业生就业渠道，确保学生就业质量。建立了完善的就业服务体系，与众多知名企业建立了学生实习就业渠道，以学校推荐和学生</w:t>
      </w:r>
      <w:r>
        <w:rPr>
          <w:rFonts w:hint="eastAsia"/>
          <w:lang w:val="en-US" w:eastAsia="zh-CN"/>
        </w:rPr>
        <w:t>自荐</w:t>
      </w:r>
      <w:r>
        <w:rPr>
          <w:rFonts w:hint="default"/>
          <w:lang w:val="en-US" w:eastAsia="zh-CN"/>
        </w:rPr>
        <w:t>等方式对口就业。同时，为贯彻落实省委、省政府鼓励学生到本地企业就业的政策，主动服务于江西、九江本地经济发展，积极投入强产兴城经济主战场。</w:t>
      </w:r>
      <w:r>
        <w:rPr>
          <w:rFonts w:hint="eastAsia"/>
          <w:lang w:val="en-US" w:eastAsia="zh-CN"/>
        </w:rPr>
        <w:t>2023年中职毕业生中留着本地就业的达到1147人，占当年毕业就业人数的61.40%。</w:t>
      </w:r>
      <w:r>
        <w:rPr>
          <w:rFonts w:hint="default"/>
          <w:lang w:val="en-US" w:eastAsia="zh-CN"/>
        </w:rPr>
        <w:t>用人单位对毕业生的职业道德、事业心、责任感，专业业务知识、吃苦精神等给予了较高评价。</w:t>
      </w:r>
    </w:p>
    <w:p w14:paraId="29A584C4">
      <w:pPr>
        <w:pStyle w:val="16"/>
        <w:rPr>
          <w:rFonts w:hint="default"/>
          <w:lang w:val="en-US" w:eastAsia="zh-CN"/>
        </w:rPr>
      </w:pPr>
      <w:r>
        <w:rPr>
          <w:rFonts w:hint="default"/>
          <w:lang w:val="en-US" w:eastAsia="zh-CN"/>
        </w:rPr>
        <w:t>202</w:t>
      </w:r>
      <w:r>
        <w:rPr>
          <w:rFonts w:hint="eastAsia"/>
          <w:lang w:val="en-US" w:eastAsia="zh-CN"/>
        </w:rPr>
        <w:t>3</w:t>
      </w:r>
      <w:r>
        <w:rPr>
          <w:rFonts w:hint="default"/>
          <w:lang w:val="en-US" w:eastAsia="zh-CN"/>
        </w:rPr>
        <w:t>年</w:t>
      </w:r>
      <w:r>
        <w:rPr>
          <w:rFonts w:hint="eastAsia"/>
          <w:lang w:val="en-US" w:eastAsia="zh-CN"/>
        </w:rPr>
        <w:t>九江</w:t>
      </w:r>
      <w:r>
        <w:rPr>
          <w:rFonts w:hint="default"/>
          <w:lang w:val="en-US" w:eastAsia="zh-CN"/>
        </w:rPr>
        <w:t>市</w:t>
      </w:r>
      <w:r>
        <w:rPr>
          <w:rFonts w:hint="eastAsia"/>
          <w:lang w:val="en-US" w:eastAsia="zh-CN"/>
        </w:rPr>
        <w:t>中职</w:t>
      </w:r>
      <w:r>
        <w:rPr>
          <w:rFonts w:hint="default"/>
          <w:lang w:val="en-US" w:eastAsia="zh-CN"/>
        </w:rPr>
        <w:t>毕业生面向三次产业就业人数共计</w:t>
      </w:r>
      <w:r>
        <w:rPr>
          <w:rFonts w:hint="eastAsia"/>
          <w:lang w:val="en-US" w:eastAsia="zh-CN"/>
        </w:rPr>
        <w:t>2584人</w:t>
      </w:r>
      <w:r>
        <w:rPr>
          <w:rFonts w:hint="default"/>
          <w:lang w:val="en-US" w:eastAsia="zh-CN"/>
        </w:rPr>
        <w:t>，其中</w:t>
      </w:r>
      <w:r>
        <w:rPr>
          <w:rFonts w:hint="eastAsia"/>
          <w:lang w:val="en-US" w:eastAsia="zh-CN"/>
        </w:rPr>
        <w:t>面向</w:t>
      </w:r>
      <w:r>
        <w:rPr>
          <w:rFonts w:hint="default"/>
          <w:lang w:val="en-US" w:eastAsia="zh-CN"/>
        </w:rPr>
        <w:t>第一产业</w:t>
      </w:r>
      <w:r>
        <w:rPr>
          <w:rFonts w:hint="eastAsia"/>
          <w:lang w:val="en-US" w:eastAsia="zh-CN"/>
        </w:rPr>
        <w:t>18</w:t>
      </w:r>
      <w:r>
        <w:rPr>
          <w:rFonts w:hint="default"/>
          <w:lang w:val="en-US" w:eastAsia="zh-CN"/>
        </w:rPr>
        <w:t>人，</w:t>
      </w:r>
      <w:r>
        <w:rPr>
          <w:rFonts w:hint="eastAsia"/>
          <w:lang w:val="en-US" w:eastAsia="zh-CN"/>
        </w:rPr>
        <w:t>面向</w:t>
      </w:r>
      <w:r>
        <w:rPr>
          <w:rFonts w:hint="default"/>
          <w:lang w:val="en-US" w:eastAsia="zh-CN"/>
        </w:rPr>
        <w:t>第二产业</w:t>
      </w:r>
      <w:r>
        <w:rPr>
          <w:rFonts w:hint="eastAsia"/>
          <w:lang w:val="en-US" w:eastAsia="zh-CN"/>
        </w:rPr>
        <w:t>1125</w:t>
      </w:r>
      <w:r>
        <w:rPr>
          <w:rFonts w:hint="default"/>
          <w:lang w:val="en-US" w:eastAsia="zh-CN"/>
        </w:rPr>
        <w:t>人，</w:t>
      </w:r>
      <w:r>
        <w:rPr>
          <w:rFonts w:hint="eastAsia"/>
          <w:lang w:val="en-US" w:eastAsia="zh-CN"/>
        </w:rPr>
        <w:t>面向</w:t>
      </w:r>
      <w:r>
        <w:rPr>
          <w:rFonts w:hint="default"/>
          <w:lang w:val="en-US" w:eastAsia="zh-CN"/>
        </w:rPr>
        <w:t>第三产业</w:t>
      </w:r>
      <w:r>
        <w:rPr>
          <w:rFonts w:hint="eastAsia"/>
          <w:lang w:val="en-US" w:eastAsia="zh-CN"/>
        </w:rPr>
        <w:t>1441</w:t>
      </w:r>
      <w:r>
        <w:rPr>
          <w:rFonts w:hint="default"/>
          <w:lang w:val="en-US" w:eastAsia="zh-CN"/>
        </w:rPr>
        <w:t>人。</w:t>
      </w:r>
    </w:p>
    <w:p w14:paraId="246FD6A6">
      <w:pPr>
        <w:pStyle w:val="16"/>
        <w:ind w:left="0" w:leftChars="0" w:firstLine="0" w:firstLineChars="0"/>
        <w:jc w:val="center"/>
      </w:pPr>
      <w:r>
        <w:drawing>
          <wp:inline distT="0" distB="0" distL="114300" distR="114300">
            <wp:extent cx="3673475" cy="3028950"/>
            <wp:effectExtent l="4445" t="4445" r="17780" b="1460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9486053">
      <w:pPr>
        <w:pStyle w:val="40"/>
        <w:bidi w:val="0"/>
        <w:rPr>
          <w:rFonts w:hint="default"/>
          <w:lang w:val="en-US" w:eastAsia="zh-CN"/>
        </w:rPr>
      </w:pPr>
      <w:bookmarkStart w:id="47" w:name="_Toc32484"/>
      <w:r>
        <w:rPr>
          <w:rFonts w:hint="eastAsia"/>
          <w:lang w:val="en-US" w:eastAsia="zh-CN"/>
        </w:rPr>
        <w:t>图4：2023届中职毕业生面向三次产业就业人数比例</w:t>
      </w:r>
      <w:bookmarkEnd w:id="47"/>
    </w:p>
    <w:p w14:paraId="67ED6B73">
      <w:pPr>
        <w:pStyle w:val="16"/>
        <w:rPr>
          <w:rFonts w:hint="default"/>
          <w:lang w:val="en-US" w:eastAsia="zh-CN"/>
        </w:rPr>
      </w:pPr>
    </w:p>
    <w:p w14:paraId="151B4248">
      <w:pPr>
        <w:pStyle w:val="36"/>
        <w:bidi w:val="0"/>
        <w:rPr>
          <w:rFonts w:hint="default"/>
          <w:lang w:val="en-US" w:eastAsia="zh-CN"/>
        </w:rPr>
      </w:pPr>
      <w:bookmarkStart w:id="48" w:name="_Toc1896"/>
      <w:bookmarkStart w:id="49" w:name="_Toc31556"/>
      <w:r>
        <w:rPr>
          <w:rFonts w:hint="default"/>
          <w:lang w:val="en-US" w:eastAsia="zh-CN"/>
        </w:rPr>
        <w:t>2.5</w:t>
      </w:r>
      <w:r>
        <w:rPr>
          <w:rFonts w:hint="eastAsia"/>
          <w:lang w:val="en-US" w:eastAsia="zh-CN"/>
        </w:rPr>
        <w:t xml:space="preserve"> </w:t>
      </w:r>
      <w:r>
        <w:rPr>
          <w:rFonts w:hint="default"/>
          <w:lang w:val="en-US" w:eastAsia="zh-CN"/>
        </w:rPr>
        <w:t>升学情况</w:t>
      </w:r>
      <w:bookmarkEnd w:id="48"/>
      <w:bookmarkEnd w:id="49"/>
    </w:p>
    <w:p w14:paraId="2FDA2587">
      <w:pPr>
        <w:pStyle w:val="16"/>
        <w:bidi w:val="0"/>
        <w:rPr>
          <w:rFonts w:hint="default"/>
          <w:lang w:val="en-US" w:eastAsia="zh-CN"/>
        </w:rPr>
      </w:pPr>
      <w:r>
        <w:rPr>
          <w:rFonts w:hint="default"/>
          <w:lang w:val="en-US" w:eastAsia="zh-CN"/>
        </w:rPr>
        <w:t>我市各中职学校结合学生需求与学校发展实际，充分鼓励学生通过努力进入高一级的学府深造，并根据自身能力适当调整课程设置。202</w:t>
      </w:r>
      <w:r>
        <w:rPr>
          <w:rFonts w:hint="eastAsia"/>
          <w:lang w:val="en-US" w:eastAsia="zh-CN"/>
        </w:rPr>
        <w:t>3</w:t>
      </w:r>
      <w:r>
        <w:rPr>
          <w:rFonts w:hint="default"/>
          <w:lang w:val="en-US" w:eastAsia="zh-CN"/>
        </w:rPr>
        <w:t>年，我市共有</w:t>
      </w:r>
      <w:r>
        <w:rPr>
          <w:rFonts w:hint="eastAsia"/>
          <w:lang w:val="en-US" w:eastAsia="zh-CN"/>
        </w:rPr>
        <w:t>7055</w:t>
      </w:r>
      <w:r>
        <w:rPr>
          <w:rFonts w:hint="default"/>
          <w:lang w:val="en-US" w:eastAsia="zh-CN"/>
        </w:rPr>
        <w:t>名中职毕业生升学，其中升入本科院校</w:t>
      </w:r>
      <w:r>
        <w:rPr>
          <w:rFonts w:hint="eastAsia"/>
          <w:lang w:val="en-US" w:eastAsia="zh-CN"/>
        </w:rPr>
        <w:t>281</w:t>
      </w:r>
      <w:r>
        <w:rPr>
          <w:rFonts w:hint="default"/>
          <w:lang w:val="en-US" w:eastAsia="zh-CN"/>
        </w:rPr>
        <w:t>人，升入高职高专院校</w:t>
      </w:r>
      <w:r>
        <w:rPr>
          <w:rFonts w:hint="eastAsia"/>
          <w:lang w:val="en-US" w:eastAsia="zh-CN"/>
        </w:rPr>
        <w:t>6774</w:t>
      </w:r>
      <w:r>
        <w:rPr>
          <w:rFonts w:hint="default"/>
          <w:lang w:val="en-US" w:eastAsia="zh-CN"/>
        </w:rPr>
        <w:t>人，升学率达到6</w:t>
      </w:r>
      <w:r>
        <w:rPr>
          <w:rFonts w:hint="eastAsia"/>
          <w:lang w:val="en-US" w:eastAsia="zh-CN"/>
        </w:rPr>
        <w:t>9</w:t>
      </w:r>
      <w:r>
        <w:rPr>
          <w:rFonts w:hint="default"/>
          <w:lang w:val="en-US" w:eastAsia="zh-CN"/>
        </w:rPr>
        <w:t>.</w:t>
      </w:r>
      <w:r>
        <w:rPr>
          <w:rFonts w:hint="eastAsia"/>
          <w:lang w:val="en-US" w:eastAsia="zh-CN"/>
        </w:rPr>
        <w:t>65</w:t>
      </w:r>
      <w:r>
        <w:rPr>
          <w:rFonts w:hint="default"/>
          <w:lang w:val="en-US" w:eastAsia="zh-CN"/>
        </w:rPr>
        <w:t>%，创历史新高。</w:t>
      </w:r>
    </w:p>
    <w:p w14:paraId="6D979E62">
      <w:pPr>
        <w:pStyle w:val="16"/>
        <w:bidi w:val="0"/>
        <w:rPr>
          <w:rFonts w:hint="default"/>
          <w:lang w:val="en-US" w:eastAsia="zh-CN"/>
        </w:rPr>
      </w:pPr>
    </w:p>
    <w:p w14:paraId="20FCBA8A">
      <w:pPr>
        <w:pStyle w:val="38"/>
        <w:bidi w:val="0"/>
        <w:rPr>
          <w:rFonts w:hint="default"/>
          <w:lang w:val="en-US" w:eastAsia="zh-CN"/>
        </w:rPr>
      </w:pPr>
      <w:bookmarkStart w:id="50" w:name="_Toc25609"/>
      <w:r>
        <w:rPr>
          <w:rFonts w:hint="eastAsia"/>
          <w:lang w:val="en-US" w:eastAsia="zh-CN"/>
        </w:rPr>
        <w:t>表7：中职毕业生历年升学情况统计表</w:t>
      </w:r>
      <w:bookmarkEnd w:id="50"/>
    </w:p>
    <w:tbl>
      <w:tblPr>
        <w:tblStyle w:val="13"/>
        <w:tblW w:w="8475"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0"/>
        <w:gridCol w:w="770"/>
        <w:gridCol w:w="770"/>
        <w:gridCol w:w="770"/>
        <w:gridCol w:w="770"/>
        <w:gridCol w:w="771"/>
        <w:gridCol w:w="770"/>
        <w:gridCol w:w="770"/>
        <w:gridCol w:w="770"/>
        <w:gridCol w:w="770"/>
        <w:gridCol w:w="774"/>
      </w:tblGrid>
      <w:tr w14:paraId="15C5D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770" w:type="dxa"/>
            <w:vMerge w:val="restart"/>
            <w:tcBorders>
              <w:top w:val="nil"/>
              <w:left w:val="nil"/>
              <w:bottom w:val="single" w:color="FFFFFF" w:sz="12" w:space="0"/>
              <w:right w:val="single" w:color="FFFFFF" w:sz="4" w:space="0"/>
            </w:tcBorders>
            <w:shd w:val="clear" w:color="4874CB" w:fill="4874CB"/>
            <w:vAlign w:val="center"/>
          </w:tcPr>
          <w:p w14:paraId="721B7286">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年份</w:t>
            </w:r>
          </w:p>
        </w:tc>
        <w:tc>
          <w:tcPr>
            <w:tcW w:w="770" w:type="dxa"/>
            <w:vMerge w:val="restart"/>
            <w:tcBorders>
              <w:top w:val="nil"/>
              <w:left w:val="single" w:color="FFFFFF" w:sz="4" w:space="0"/>
              <w:bottom w:val="single" w:color="FFFFFF" w:sz="12" w:space="0"/>
              <w:right w:val="single" w:color="FFFFFF" w:sz="4" w:space="0"/>
            </w:tcBorders>
            <w:shd w:val="clear" w:color="4874CB" w:fill="4874CB"/>
            <w:vAlign w:val="center"/>
          </w:tcPr>
          <w:p w14:paraId="60C2164F">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毕业生数</w:t>
            </w:r>
          </w:p>
        </w:tc>
        <w:tc>
          <w:tcPr>
            <w:tcW w:w="770" w:type="dxa"/>
            <w:vMerge w:val="restart"/>
            <w:tcBorders>
              <w:top w:val="nil"/>
              <w:left w:val="single" w:color="FFFFFF" w:sz="4" w:space="0"/>
              <w:bottom w:val="single" w:color="FFFFFF" w:sz="12" w:space="0"/>
              <w:right w:val="single" w:color="FFFFFF" w:sz="4" w:space="0"/>
            </w:tcBorders>
            <w:shd w:val="clear" w:color="4874CB" w:fill="4874CB"/>
            <w:vAlign w:val="center"/>
          </w:tcPr>
          <w:p w14:paraId="4B97C463">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升学人数</w:t>
            </w:r>
          </w:p>
        </w:tc>
        <w:tc>
          <w:tcPr>
            <w:tcW w:w="770" w:type="dxa"/>
            <w:vMerge w:val="restart"/>
            <w:tcBorders>
              <w:top w:val="nil"/>
              <w:left w:val="single" w:color="FFFFFF" w:sz="4" w:space="0"/>
              <w:bottom w:val="single" w:color="FFFFFF" w:sz="12" w:space="0"/>
              <w:right w:val="single" w:color="FFFFFF" w:sz="4" w:space="0"/>
            </w:tcBorders>
            <w:shd w:val="clear" w:color="4874CB" w:fill="4874CB"/>
            <w:vAlign w:val="center"/>
          </w:tcPr>
          <w:p w14:paraId="2A2EAFE5">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升学率（%）</w:t>
            </w:r>
          </w:p>
        </w:tc>
        <w:tc>
          <w:tcPr>
            <w:tcW w:w="1541" w:type="dxa"/>
            <w:gridSpan w:val="2"/>
            <w:tcBorders>
              <w:top w:val="nil"/>
              <w:left w:val="single" w:color="FFFFFF" w:sz="4" w:space="0"/>
              <w:bottom w:val="single" w:color="FFFFFF" w:sz="12" w:space="0"/>
              <w:right w:val="single" w:color="FFFFFF" w:sz="4" w:space="0"/>
            </w:tcBorders>
            <w:shd w:val="clear" w:color="4874CB" w:fill="4874CB"/>
            <w:noWrap/>
            <w:vAlign w:val="center"/>
          </w:tcPr>
          <w:p w14:paraId="61BCA504">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升学去向</w:t>
            </w:r>
          </w:p>
        </w:tc>
        <w:tc>
          <w:tcPr>
            <w:tcW w:w="3854" w:type="dxa"/>
            <w:gridSpan w:val="5"/>
            <w:tcBorders>
              <w:top w:val="nil"/>
              <w:left w:val="single" w:color="FFFFFF" w:sz="4" w:space="0"/>
              <w:bottom w:val="single" w:color="FFFFFF" w:sz="12" w:space="0"/>
              <w:right w:val="single" w:color="FFFFFF" w:sz="4" w:space="0"/>
            </w:tcBorders>
            <w:shd w:val="clear" w:color="4874CB" w:fill="4874CB"/>
            <w:noWrap/>
            <w:vAlign w:val="center"/>
          </w:tcPr>
          <w:p w14:paraId="679CC809">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升学方式</w:t>
            </w:r>
          </w:p>
        </w:tc>
      </w:tr>
      <w:tr w14:paraId="13F18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4" w:hRule="atLeast"/>
        </w:trPr>
        <w:tc>
          <w:tcPr>
            <w:tcW w:w="770" w:type="dxa"/>
            <w:vMerge w:val="continue"/>
            <w:tcBorders>
              <w:top w:val="nil"/>
              <w:left w:val="nil"/>
              <w:bottom w:val="single" w:color="FFFFFF" w:sz="12" w:space="0"/>
              <w:right w:val="single" w:color="FFFFFF" w:sz="4" w:space="0"/>
            </w:tcBorders>
            <w:shd w:val="clear" w:color="4874CB" w:fill="4874CB"/>
            <w:vAlign w:val="center"/>
          </w:tcPr>
          <w:p w14:paraId="6D4C23D3">
            <w:pPr>
              <w:jc w:val="center"/>
              <w:rPr>
                <w:rFonts w:hint="eastAsia" w:ascii="仿宋_GB2312" w:hAnsi="仿宋_GB2312" w:eastAsia="仿宋_GB2312" w:cs="仿宋_GB2312"/>
                <w:b/>
                <w:bCs/>
                <w:i w:val="0"/>
                <w:iCs w:val="0"/>
                <w:color w:val="FFFFFF"/>
                <w:sz w:val="21"/>
                <w:szCs w:val="21"/>
                <w:u w:val="none"/>
              </w:rPr>
            </w:pPr>
          </w:p>
        </w:tc>
        <w:tc>
          <w:tcPr>
            <w:tcW w:w="770" w:type="dxa"/>
            <w:vMerge w:val="continue"/>
            <w:tcBorders>
              <w:top w:val="nil"/>
              <w:left w:val="single" w:color="FFFFFF" w:sz="4" w:space="0"/>
              <w:bottom w:val="single" w:color="FFFFFF" w:sz="12" w:space="0"/>
              <w:right w:val="single" w:color="FFFFFF" w:sz="4" w:space="0"/>
            </w:tcBorders>
            <w:shd w:val="clear" w:color="4874CB" w:fill="4874CB"/>
            <w:vAlign w:val="center"/>
          </w:tcPr>
          <w:p w14:paraId="50505F15">
            <w:pPr>
              <w:jc w:val="center"/>
              <w:rPr>
                <w:rFonts w:hint="eastAsia" w:ascii="仿宋_GB2312" w:hAnsi="仿宋_GB2312" w:eastAsia="仿宋_GB2312" w:cs="仿宋_GB2312"/>
                <w:b/>
                <w:bCs/>
                <w:i w:val="0"/>
                <w:iCs w:val="0"/>
                <w:color w:val="FFFFFF"/>
                <w:sz w:val="21"/>
                <w:szCs w:val="21"/>
                <w:u w:val="none"/>
              </w:rPr>
            </w:pPr>
          </w:p>
        </w:tc>
        <w:tc>
          <w:tcPr>
            <w:tcW w:w="770" w:type="dxa"/>
            <w:vMerge w:val="continue"/>
            <w:tcBorders>
              <w:top w:val="nil"/>
              <w:left w:val="single" w:color="FFFFFF" w:sz="4" w:space="0"/>
              <w:bottom w:val="single" w:color="FFFFFF" w:sz="12" w:space="0"/>
              <w:right w:val="single" w:color="FFFFFF" w:sz="4" w:space="0"/>
            </w:tcBorders>
            <w:shd w:val="clear" w:color="4874CB" w:fill="4874CB"/>
            <w:vAlign w:val="center"/>
          </w:tcPr>
          <w:p w14:paraId="2857F966">
            <w:pPr>
              <w:jc w:val="center"/>
              <w:rPr>
                <w:rFonts w:hint="eastAsia" w:ascii="仿宋_GB2312" w:hAnsi="仿宋_GB2312" w:eastAsia="仿宋_GB2312" w:cs="仿宋_GB2312"/>
                <w:b/>
                <w:bCs/>
                <w:i w:val="0"/>
                <w:iCs w:val="0"/>
                <w:color w:val="FFFFFF"/>
                <w:sz w:val="21"/>
                <w:szCs w:val="21"/>
                <w:u w:val="none"/>
              </w:rPr>
            </w:pPr>
          </w:p>
        </w:tc>
        <w:tc>
          <w:tcPr>
            <w:tcW w:w="770" w:type="dxa"/>
            <w:vMerge w:val="continue"/>
            <w:tcBorders>
              <w:top w:val="nil"/>
              <w:left w:val="single" w:color="FFFFFF" w:sz="4" w:space="0"/>
              <w:bottom w:val="single" w:color="FFFFFF" w:sz="12" w:space="0"/>
              <w:right w:val="single" w:color="FFFFFF" w:sz="4" w:space="0"/>
            </w:tcBorders>
            <w:shd w:val="clear" w:color="4874CB" w:fill="4874CB"/>
            <w:vAlign w:val="center"/>
          </w:tcPr>
          <w:p w14:paraId="19FE1B62">
            <w:pPr>
              <w:jc w:val="center"/>
              <w:rPr>
                <w:rFonts w:hint="eastAsia" w:ascii="仿宋_GB2312" w:hAnsi="仿宋_GB2312" w:eastAsia="仿宋_GB2312" w:cs="仿宋_GB2312"/>
                <w:b/>
                <w:bCs/>
                <w:i w:val="0"/>
                <w:iCs w:val="0"/>
                <w:color w:val="FFFFFF"/>
                <w:sz w:val="21"/>
                <w:szCs w:val="21"/>
                <w:u w:val="none"/>
              </w:rPr>
            </w:pPr>
          </w:p>
        </w:tc>
        <w:tc>
          <w:tcPr>
            <w:tcW w:w="770" w:type="dxa"/>
            <w:tcBorders>
              <w:top w:val="single" w:color="FFFFFF" w:sz="12" w:space="0"/>
              <w:left w:val="single" w:color="FFFFFF" w:sz="4" w:space="0"/>
              <w:bottom w:val="single" w:color="FFFFFF" w:sz="4" w:space="0"/>
              <w:right w:val="single" w:color="FFFFFF" w:sz="4" w:space="0"/>
            </w:tcBorders>
            <w:shd w:val="clear" w:color="B5C6EA" w:fill="B5C6EA"/>
            <w:vAlign w:val="center"/>
          </w:tcPr>
          <w:p w14:paraId="00A4BF0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升入本科院校人数</w:t>
            </w:r>
          </w:p>
        </w:tc>
        <w:tc>
          <w:tcPr>
            <w:tcW w:w="771" w:type="dxa"/>
            <w:tcBorders>
              <w:top w:val="single" w:color="FFFFFF" w:sz="12" w:space="0"/>
              <w:left w:val="single" w:color="FFFFFF" w:sz="4" w:space="0"/>
              <w:bottom w:val="single" w:color="FFFFFF" w:sz="4" w:space="0"/>
              <w:right w:val="single" w:color="FFFFFF" w:sz="4" w:space="0"/>
            </w:tcBorders>
            <w:shd w:val="clear" w:color="B5C6EA" w:fill="B5C6EA"/>
            <w:vAlign w:val="center"/>
          </w:tcPr>
          <w:p w14:paraId="1811769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升入高职高专院校人数</w:t>
            </w:r>
          </w:p>
        </w:tc>
        <w:tc>
          <w:tcPr>
            <w:tcW w:w="770" w:type="dxa"/>
            <w:tcBorders>
              <w:top w:val="single" w:color="FFFFFF" w:sz="12" w:space="0"/>
              <w:left w:val="single" w:color="FFFFFF" w:sz="4" w:space="0"/>
              <w:bottom w:val="single" w:color="FFFFFF" w:sz="4" w:space="0"/>
              <w:right w:val="single" w:color="FFFFFF" w:sz="4" w:space="0"/>
            </w:tcBorders>
            <w:shd w:val="clear" w:color="B5C6EA" w:fill="B5C6EA"/>
            <w:vAlign w:val="center"/>
          </w:tcPr>
          <w:p w14:paraId="021C6AD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通过职教高考升学人数</w:t>
            </w:r>
          </w:p>
        </w:tc>
        <w:tc>
          <w:tcPr>
            <w:tcW w:w="770" w:type="dxa"/>
            <w:tcBorders>
              <w:top w:val="single" w:color="FFFFFF" w:sz="12" w:space="0"/>
              <w:left w:val="single" w:color="FFFFFF" w:sz="4" w:space="0"/>
              <w:bottom w:val="single" w:color="FFFFFF" w:sz="4" w:space="0"/>
              <w:right w:val="single" w:color="FFFFFF" w:sz="4" w:space="0"/>
            </w:tcBorders>
            <w:shd w:val="clear" w:color="B5C6EA" w:fill="B5C6EA"/>
            <w:vAlign w:val="center"/>
          </w:tcPr>
          <w:p w14:paraId="0076356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通过对口单独招生升学人数</w:t>
            </w:r>
          </w:p>
        </w:tc>
        <w:tc>
          <w:tcPr>
            <w:tcW w:w="770" w:type="dxa"/>
            <w:tcBorders>
              <w:top w:val="single" w:color="FFFFFF" w:sz="12" w:space="0"/>
              <w:left w:val="single" w:color="FFFFFF" w:sz="4" w:space="0"/>
              <w:bottom w:val="single" w:color="FFFFFF" w:sz="4" w:space="0"/>
              <w:right w:val="single" w:color="FFFFFF" w:sz="4" w:space="0"/>
            </w:tcBorders>
            <w:shd w:val="clear" w:color="B5C6EA" w:fill="B5C6EA"/>
            <w:vAlign w:val="center"/>
          </w:tcPr>
          <w:p w14:paraId="7AEC82C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通过中高贯通升学人数</w:t>
            </w:r>
          </w:p>
        </w:tc>
        <w:tc>
          <w:tcPr>
            <w:tcW w:w="770" w:type="dxa"/>
            <w:tcBorders>
              <w:top w:val="single" w:color="FFFFFF" w:sz="12" w:space="0"/>
              <w:left w:val="single" w:color="FFFFFF" w:sz="4" w:space="0"/>
              <w:bottom w:val="single" w:color="FFFFFF" w:sz="4" w:space="0"/>
              <w:right w:val="single" w:color="FFFFFF" w:sz="4" w:space="0"/>
            </w:tcBorders>
            <w:shd w:val="clear" w:color="B5C6EA" w:fill="B5C6EA"/>
            <w:vAlign w:val="center"/>
          </w:tcPr>
          <w:p w14:paraId="72C308C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通过技能拔尖人才免试升学人数</w:t>
            </w:r>
          </w:p>
        </w:tc>
        <w:tc>
          <w:tcPr>
            <w:tcW w:w="774" w:type="dxa"/>
            <w:tcBorders>
              <w:top w:val="single" w:color="FFFFFF" w:sz="12" w:space="0"/>
              <w:left w:val="single" w:color="FFFFFF" w:sz="4" w:space="0"/>
              <w:bottom w:val="single" w:color="FFFFFF" w:sz="4" w:space="0"/>
              <w:right w:val="nil"/>
            </w:tcBorders>
            <w:shd w:val="clear" w:color="B5C6EA" w:fill="B5C6EA"/>
            <w:vAlign w:val="center"/>
          </w:tcPr>
          <w:p w14:paraId="30E0ACD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其他途径升学人数</w:t>
            </w:r>
          </w:p>
        </w:tc>
      </w:tr>
      <w:tr w14:paraId="06DAE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70" w:type="dxa"/>
            <w:tcBorders>
              <w:top w:val="single" w:color="FFFFFF" w:sz="4" w:space="0"/>
              <w:left w:val="nil"/>
              <w:bottom w:val="single" w:color="FFFFFF" w:sz="4" w:space="0"/>
              <w:right w:val="single" w:color="FFFFFF" w:sz="4" w:space="0"/>
            </w:tcBorders>
            <w:shd w:val="clear" w:color="D9E1F4" w:fill="D9E1F4"/>
            <w:vAlign w:val="center"/>
          </w:tcPr>
          <w:p w14:paraId="2DD0AF2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2020</w:t>
            </w:r>
          </w:p>
        </w:tc>
        <w:tc>
          <w:tcPr>
            <w:tcW w:w="770"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6305CA8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7364</w:t>
            </w:r>
          </w:p>
        </w:tc>
        <w:tc>
          <w:tcPr>
            <w:tcW w:w="770"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4DC4926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4116</w:t>
            </w:r>
          </w:p>
        </w:tc>
        <w:tc>
          <w:tcPr>
            <w:tcW w:w="770"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22749F9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55.89</w:t>
            </w:r>
          </w:p>
        </w:tc>
        <w:tc>
          <w:tcPr>
            <w:tcW w:w="770"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1906BA1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239</w:t>
            </w:r>
          </w:p>
        </w:tc>
        <w:tc>
          <w:tcPr>
            <w:tcW w:w="771"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4400E63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3877</w:t>
            </w:r>
          </w:p>
        </w:tc>
        <w:tc>
          <w:tcPr>
            <w:tcW w:w="770"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05634D3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1201</w:t>
            </w:r>
          </w:p>
        </w:tc>
        <w:tc>
          <w:tcPr>
            <w:tcW w:w="770"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749D22C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2140</w:t>
            </w:r>
          </w:p>
        </w:tc>
        <w:tc>
          <w:tcPr>
            <w:tcW w:w="770"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5EC0B8B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737</w:t>
            </w:r>
          </w:p>
        </w:tc>
        <w:tc>
          <w:tcPr>
            <w:tcW w:w="770"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7108DB5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17</w:t>
            </w:r>
          </w:p>
        </w:tc>
        <w:tc>
          <w:tcPr>
            <w:tcW w:w="774" w:type="dxa"/>
            <w:tcBorders>
              <w:top w:val="single" w:color="FFFFFF" w:sz="4" w:space="0"/>
              <w:left w:val="single" w:color="FFFFFF" w:sz="4" w:space="0"/>
              <w:bottom w:val="single" w:color="FFFFFF" w:sz="4" w:space="0"/>
              <w:right w:val="nil"/>
            </w:tcBorders>
            <w:shd w:val="clear" w:color="D9E1F4" w:fill="D9E1F4"/>
            <w:vAlign w:val="center"/>
          </w:tcPr>
          <w:p w14:paraId="49E9586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21</w:t>
            </w:r>
          </w:p>
        </w:tc>
      </w:tr>
      <w:tr w14:paraId="53555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70" w:type="dxa"/>
            <w:tcBorders>
              <w:top w:val="single" w:color="FFFFFF" w:sz="4" w:space="0"/>
              <w:left w:val="nil"/>
              <w:bottom w:val="single" w:color="FFFFFF" w:sz="4" w:space="0"/>
              <w:right w:val="single" w:color="FFFFFF" w:sz="4" w:space="0"/>
            </w:tcBorders>
            <w:shd w:val="clear" w:color="B5C6EA" w:fill="B5C6EA"/>
            <w:vAlign w:val="center"/>
          </w:tcPr>
          <w:p w14:paraId="4FC0580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2021</w:t>
            </w:r>
          </w:p>
        </w:tc>
        <w:tc>
          <w:tcPr>
            <w:tcW w:w="770"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14A0ECF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7948</w:t>
            </w:r>
          </w:p>
        </w:tc>
        <w:tc>
          <w:tcPr>
            <w:tcW w:w="770"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25706EA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4680</w:t>
            </w:r>
          </w:p>
        </w:tc>
        <w:tc>
          <w:tcPr>
            <w:tcW w:w="770"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4C033D8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59.42</w:t>
            </w:r>
          </w:p>
        </w:tc>
        <w:tc>
          <w:tcPr>
            <w:tcW w:w="770"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430115B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w:t>
            </w:r>
          </w:p>
        </w:tc>
        <w:tc>
          <w:tcPr>
            <w:tcW w:w="771"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01805EC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4478</w:t>
            </w:r>
          </w:p>
        </w:tc>
        <w:tc>
          <w:tcPr>
            <w:tcW w:w="770"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2266550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1426</w:t>
            </w:r>
          </w:p>
        </w:tc>
        <w:tc>
          <w:tcPr>
            <w:tcW w:w="770"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1805FC2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2176</w:t>
            </w:r>
          </w:p>
        </w:tc>
        <w:tc>
          <w:tcPr>
            <w:tcW w:w="770"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5140BF2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1004</w:t>
            </w:r>
          </w:p>
        </w:tc>
        <w:tc>
          <w:tcPr>
            <w:tcW w:w="770"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32761A7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27</w:t>
            </w:r>
          </w:p>
        </w:tc>
        <w:tc>
          <w:tcPr>
            <w:tcW w:w="774" w:type="dxa"/>
            <w:tcBorders>
              <w:top w:val="single" w:color="FFFFFF" w:sz="4" w:space="0"/>
              <w:left w:val="single" w:color="FFFFFF" w:sz="4" w:space="0"/>
              <w:bottom w:val="single" w:color="FFFFFF" w:sz="4" w:space="0"/>
              <w:right w:val="nil"/>
            </w:tcBorders>
            <w:shd w:val="clear" w:color="B5C6EA" w:fill="B5C6EA"/>
            <w:vAlign w:val="center"/>
          </w:tcPr>
          <w:p w14:paraId="2C53AE7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47</w:t>
            </w:r>
          </w:p>
        </w:tc>
      </w:tr>
      <w:tr w14:paraId="1E577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70" w:type="dxa"/>
            <w:tcBorders>
              <w:top w:val="single" w:color="FFFFFF" w:sz="4" w:space="0"/>
              <w:left w:val="nil"/>
              <w:bottom w:val="single" w:color="FFFFFF" w:sz="4" w:space="0"/>
              <w:right w:val="single" w:color="FFFFFF" w:sz="4" w:space="0"/>
            </w:tcBorders>
            <w:shd w:val="clear" w:color="D9E1F4" w:fill="D9E1F4"/>
            <w:noWrap/>
            <w:vAlign w:val="center"/>
          </w:tcPr>
          <w:p w14:paraId="350E4B8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2022</w:t>
            </w:r>
          </w:p>
        </w:tc>
        <w:tc>
          <w:tcPr>
            <w:tcW w:w="770" w:type="dxa"/>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AB7FFC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11105</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4B6F31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7461</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663577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67.19</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42C5DD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148</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5DF264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7313</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23C8F3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2793</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E1663E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2758</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FCC6ED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1614</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FDE3ED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19</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14776FC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277</w:t>
            </w:r>
          </w:p>
        </w:tc>
      </w:tr>
      <w:tr w14:paraId="3FCD2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70" w:type="dxa"/>
            <w:tcBorders>
              <w:top w:val="single" w:color="FFFFFF" w:sz="4" w:space="0"/>
              <w:left w:val="nil"/>
              <w:bottom w:val="nil"/>
              <w:right w:val="single" w:color="FFFFFF" w:sz="4" w:space="0"/>
            </w:tcBorders>
            <w:shd w:val="clear" w:color="B5C6EA" w:fill="B5C6EA"/>
            <w:noWrap/>
            <w:vAlign w:val="center"/>
          </w:tcPr>
          <w:p w14:paraId="7EFFC90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2023</w:t>
            </w:r>
          </w:p>
        </w:tc>
        <w:tc>
          <w:tcPr>
            <w:tcW w:w="770" w:type="dxa"/>
            <w:tcBorders>
              <w:top w:val="single" w:color="FFFFFF" w:sz="4" w:space="0"/>
              <w:left w:val="single" w:color="FFFFFF" w:sz="4" w:space="0"/>
              <w:bottom w:val="nil"/>
              <w:right w:val="single" w:color="FFFFFF" w:sz="4" w:space="0"/>
            </w:tcBorders>
            <w:shd w:val="clear" w:color="B5C6EA" w:fill="B5C6EA"/>
            <w:noWrap/>
            <w:vAlign w:val="center"/>
          </w:tcPr>
          <w:p w14:paraId="18FA8BD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10129</w:t>
            </w:r>
          </w:p>
        </w:tc>
        <w:tc>
          <w:tcPr>
            <w:tcW w:w="0" w:type="auto"/>
            <w:tcBorders>
              <w:top w:val="single" w:color="FFFFFF" w:sz="4" w:space="0"/>
              <w:left w:val="single" w:color="FFFFFF" w:sz="4" w:space="0"/>
              <w:bottom w:val="nil"/>
              <w:right w:val="single" w:color="FFFFFF" w:sz="4" w:space="0"/>
            </w:tcBorders>
            <w:shd w:val="clear" w:color="B5C6EA" w:fill="B5C6EA"/>
            <w:noWrap/>
            <w:vAlign w:val="center"/>
          </w:tcPr>
          <w:p w14:paraId="61DA244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7055</w:t>
            </w:r>
          </w:p>
        </w:tc>
        <w:tc>
          <w:tcPr>
            <w:tcW w:w="0" w:type="auto"/>
            <w:tcBorders>
              <w:top w:val="single" w:color="FFFFFF" w:sz="4" w:space="0"/>
              <w:left w:val="single" w:color="FFFFFF" w:sz="4" w:space="0"/>
              <w:bottom w:val="nil"/>
              <w:right w:val="single" w:color="FFFFFF" w:sz="4" w:space="0"/>
            </w:tcBorders>
            <w:shd w:val="clear" w:color="B5C6EA" w:fill="B5C6EA"/>
            <w:noWrap/>
            <w:vAlign w:val="center"/>
          </w:tcPr>
          <w:p w14:paraId="0AD5013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69.65</w:t>
            </w:r>
          </w:p>
        </w:tc>
        <w:tc>
          <w:tcPr>
            <w:tcW w:w="0" w:type="auto"/>
            <w:tcBorders>
              <w:top w:val="single" w:color="FFFFFF" w:sz="4" w:space="0"/>
              <w:left w:val="single" w:color="FFFFFF" w:sz="4" w:space="0"/>
              <w:bottom w:val="nil"/>
              <w:right w:val="single" w:color="FFFFFF" w:sz="4" w:space="0"/>
            </w:tcBorders>
            <w:shd w:val="clear" w:color="B5C6EA" w:fill="B5C6EA"/>
            <w:noWrap/>
            <w:vAlign w:val="center"/>
          </w:tcPr>
          <w:p w14:paraId="52B703C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281</w:t>
            </w:r>
          </w:p>
        </w:tc>
        <w:tc>
          <w:tcPr>
            <w:tcW w:w="0" w:type="auto"/>
            <w:tcBorders>
              <w:top w:val="single" w:color="FFFFFF" w:sz="4" w:space="0"/>
              <w:left w:val="single" w:color="FFFFFF" w:sz="4" w:space="0"/>
              <w:bottom w:val="nil"/>
              <w:right w:val="single" w:color="FFFFFF" w:sz="4" w:space="0"/>
            </w:tcBorders>
            <w:shd w:val="clear" w:color="B5C6EA" w:fill="B5C6EA"/>
            <w:noWrap/>
            <w:vAlign w:val="center"/>
          </w:tcPr>
          <w:p w14:paraId="7BC9CEE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6774</w:t>
            </w:r>
          </w:p>
        </w:tc>
        <w:tc>
          <w:tcPr>
            <w:tcW w:w="0" w:type="auto"/>
            <w:tcBorders>
              <w:top w:val="single" w:color="FFFFFF" w:sz="4" w:space="0"/>
              <w:left w:val="single" w:color="FFFFFF" w:sz="4" w:space="0"/>
              <w:bottom w:val="nil"/>
              <w:right w:val="single" w:color="FFFFFF" w:sz="4" w:space="0"/>
            </w:tcBorders>
            <w:shd w:val="clear" w:color="B5C6EA" w:fill="B5C6EA"/>
            <w:noWrap/>
            <w:vAlign w:val="center"/>
          </w:tcPr>
          <w:p w14:paraId="6939D4A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2927</w:t>
            </w:r>
          </w:p>
        </w:tc>
        <w:tc>
          <w:tcPr>
            <w:tcW w:w="0" w:type="auto"/>
            <w:tcBorders>
              <w:top w:val="single" w:color="FFFFFF" w:sz="4" w:space="0"/>
              <w:left w:val="single" w:color="FFFFFF" w:sz="4" w:space="0"/>
              <w:bottom w:val="nil"/>
              <w:right w:val="single" w:color="FFFFFF" w:sz="4" w:space="0"/>
            </w:tcBorders>
            <w:shd w:val="clear" w:color="B5C6EA" w:fill="B5C6EA"/>
            <w:noWrap/>
            <w:vAlign w:val="center"/>
          </w:tcPr>
          <w:p w14:paraId="140D2F7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2666</w:t>
            </w:r>
          </w:p>
        </w:tc>
        <w:tc>
          <w:tcPr>
            <w:tcW w:w="0" w:type="auto"/>
            <w:tcBorders>
              <w:top w:val="single" w:color="FFFFFF" w:sz="4" w:space="0"/>
              <w:left w:val="single" w:color="FFFFFF" w:sz="4" w:space="0"/>
              <w:bottom w:val="nil"/>
              <w:right w:val="single" w:color="FFFFFF" w:sz="4" w:space="0"/>
            </w:tcBorders>
            <w:shd w:val="clear" w:color="B5C6EA" w:fill="B5C6EA"/>
            <w:noWrap/>
            <w:vAlign w:val="center"/>
          </w:tcPr>
          <w:p w14:paraId="7AD7A2A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1267</w:t>
            </w:r>
          </w:p>
        </w:tc>
        <w:tc>
          <w:tcPr>
            <w:tcW w:w="0" w:type="auto"/>
            <w:tcBorders>
              <w:top w:val="single" w:color="FFFFFF" w:sz="4" w:space="0"/>
              <w:left w:val="single" w:color="FFFFFF" w:sz="4" w:space="0"/>
              <w:bottom w:val="nil"/>
              <w:right w:val="single" w:color="FFFFFF" w:sz="4" w:space="0"/>
            </w:tcBorders>
            <w:shd w:val="clear" w:color="B5C6EA" w:fill="B5C6EA"/>
            <w:noWrap/>
            <w:vAlign w:val="center"/>
          </w:tcPr>
          <w:p w14:paraId="6333A45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w:t>
            </w:r>
          </w:p>
        </w:tc>
        <w:tc>
          <w:tcPr>
            <w:tcW w:w="0" w:type="auto"/>
            <w:tcBorders>
              <w:top w:val="single" w:color="FFFFFF" w:sz="4" w:space="0"/>
              <w:left w:val="single" w:color="FFFFFF" w:sz="4" w:space="0"/>
              <w:bottom w:val="nil"/>
              <w:right w:val="nil"/>
            </w:tcBorders>
            <w:shd w:val="clear" w:color="B5C6EA" w:fill="B5C6EA"/>
            <w:noWrap/>
            <w:vAlign w:val="center"/>
          </w:tcPr>
          <w:p w14:paraId="110FE5E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175</w:t>
            </w:r>
          </w:p>
        </w:tc>
      </w:tr>
    </w:tbl>
    <w:p w14:paraId="4542642A">
      <w:pPr>
        <w:pStyle w:val="16"/>
        <w:ind w:left="0" w:leftChars="0" w:firstLine="0" w:firstLineChars="0"/>
        <w:rPr>
          <w:rFonts w:hint="default"/>
          <w:lang w:val="en-US" w:eastAsia="zh-CN"/>
        </w:rPr>
      </w:pPr>
    </w:p>
    <w:p w14:paraId="554C41DA">
      <w:pPr>
        <w:pStyle w:val="36"/>
        <w:bidi w:val="0"/>
        <w:rPr>
          <w:rFonts w:hint="default"/>
          <w:lang w:val="en-US" w:eastAsia="zh-CN"/>
        </w:rPr>
      </w:pPr>
      <w:bookmarkStart w:id="51" w:name="_Toc18880"/>
      <w:bookmarkStart w:id="52" w:name="_Toc29663"/>
      <w:r>
        <w:rPr>
          <w:rFonts w:hint="default"/>
          <w:lang w:val="en-US" w:eastAsia="zh-CN"/>
        </w:rPr>
        <w:t>2.</w:t>
      </w:r>
      <w:r>
        <w:rPr>
          <w:rFonts w:hint="eastAsia"/>
          <w:lang w:val="en-US" w:eastAsia="zh-CN"/>
        </w:rPr>
        <w:t xml:space="preserve">6 </w:t>
      </w:r>
      <w:r>
        <w:rPr>
          <w:rFonts w:hint="default"/>
          <w:lang w:val="en-US" w:eastAsia="zh-CN"/>
        </w:rPr>
        <w:t>技能大赛</w:t>
      </w:r>
      <w:bookmarkEnd w:id="51"/>
      <w:bookmarkEnd w:id="52"/>
    </w:p>
    <w:p w14:paraId="27B927A9">
      <w:pPr>
        <w:pStyle w:val="16"/>
        <w:bidi w:val="0"/>
        <w:rPr>
          <w:rFonts w:hint="default"/>
          <w:color w:val="auto"/>
          <w:lang w:val="en-US" w:eastAsia="zh-CN"/>
        </w:rPr>
      </w:pPr>
      <w:r>
        <w:rPr>
          <w:rFonts w:hint="eastAsia"/>
          <w:color w:val="auto"/>
          <w:lang w:val="en-US" w:eastAsia="zh-CN"/>
        </w:rPr>
        <w:t>各中职</w:t>
      </w:r>
      <w:r>
        <w:rPr>
          <w:rFonts w:hint="default"/>
          <w:color w:val="auto"/>
          <w:lang w:val="en-US" w:eastAsia="zh-CN"/>
        </w:rPr>
        <w:t>学校高度重视技能大赛的引领作用，坚持以赛促教、以赛促学，引导深化教育教学内涵，积极构建“岗课赛证”融合的人才培养模式，促进专业人才链培育与本地产业链对接，培养选拔出一大批技能型人才，源源不断输往企业生产管理一线，职业教育服务地方经济发展能力大幅提升。</w:t>
      </w:r>
    </w:p>
    <w:p w14:paraId="546A7A9A">
      <w:pPr>
        <w:pStyle w:val="16"/>
        <w:bidi w:val="0"/>
        <w:rPr>
          <w:rFonts w:hint="eastAsia"/>
          <w:color w:val="auto"/>
          <w:lang w:val="en-US" w:eastAsia="zh-CN"/>
        </w:rPr>
      </w:pPr>
      <w:r>
        <w:rPr>
          <w:rFonts w:hint="eastAsia"/>
          <w:color w:val="auto"/>
          <w:lang w:val="en-US" w:eastAsia="zh-CN"/>
        </w:rPr>
        <w:t>2023年全市各中职学校学生共获得国家级技能大赛一等奖1名，二等奖1名，三等奖2名；获省级技能大赛一等奖19名，二等奖38名，三等奖62名。</w:t>
      </w:r>
    </w:p>
    <w:p w14:paraId="459245E9">
      <w:pPr>
        <w:pStyle w:val="16"/>
        <w:bidi w:val="0"/>
        <w:ind w:left="0" w:leftChars="0" w:firstLine="0" w:firstLineChars="0"/>
        <w:jc w:val="center"/>
        <w:rPr>
          <w:rFonts w:hint="eastAsia"/>
          <w:color w:val="auto"/>
          <w:lang w:val="en-US" w:eastAsia="zh-CN"/>
        </w:rPr>
      </w:pPr>
      <w:r>
        <w:rPr>
          <w:rFonts w:hint="eastAsia"/>
          <w:color w:val="auto"/>
          <w:lang w:val="en-US" w:eastAsia="zh-CN"/>
        </w:rPr>
        <w:drawing>
          <wp:inline distT="0" distB="0" distL="114300" distR="114300">
            <wp:extent cx="5226685" cy="3924300"/>
            <wp:effectExtent l="0" t="0" r="12065" b="0"/>
            <wp:docPr id="7" name="图片 7" descr="微信图片_2024011916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119164756"/>
                    <pic:cNvPicPr>
                      <a:picLocks noChangeAspect="1"/>
                    </pic:cNvPicPr>
                  </pic:nvPicPr>
                  <pic:blipFill>
                    <a:blip r:embed="rId12"/>
                    <a:stretch>
                      <a:fillRect/>
                    </a:stretch>
                  </pic:blipFill>
                  <pic:spPr>
                    <a:xfrm>
                      <a:off x="0" y="0"/>
                      <a:ext cx="5226685" cy="3924300"/>
                    </a:xfrm>
                    <a:prstGeom prst="rect">
                      <a:avLst/>
                    </a:prstGeom>
                  </pic:spPr>
                </pic:pic>
              </a:graphicData>
            </a:graphic>
          </wp:inline>
        </w:drawing>
      </w:r>
    </w:p>
    <w:p w14:paraId="2D536255">
      <w:pPr>
        <w:pStyle w:val="40"/>
        <w:bidi w:val="0"/>
        <w:rPr>
          <w:rFonts w:hint="default"/>
          <w:lang w:val="en-US" w:eastAsia="zh-CN"/>
        </w:rPr>
      </w:pPr>
      <w:bookmarkStart w:id="53" w:name="_Toc30320"/>
      <w:r>
        <w:rPr>
          <w:rFonts w:hint="eastAsia"/>
          <w:lang w:val="en-US" w:eastAsia="zh-CN"/>
        </w:rPr>
        <w:t>图5：彭泽中专学生获得全国技能大赛一等奖</w:t>
      </w:r>
      <w:bookmarkEnd w:id="53"/>
    </w:p>
    <w:p w14:paraId="1A6EC546">
      <w:pPr>
        <w:pStyle w:val="37"/>
        <w:bidi w:val="0"/>
        <w:rPr>
          <w:rFonts w:hint="default"/>
          <w:lang w:val="en-US" w:eastAsia="zh-CN"/>
        </w:rPr>
      </w:pPr>
      <w:bookmarkStart w:id="54" w:name="_Toc10980"/>
      <w:r>
        <w:rPr>
          <w:rFonts w:hint="eastAsia"/>
          <w:lang w:val="en-US" w:eastAsia="zh-CN"/>
        </w:rPr>
        <w:t>案例3：柴桑中职举办TCL（智能制造）专业第二届技能大赛</w:t>
      </w:r>
      <w:bookmarkEnd w:id="54"/>
    </w:p>
    <w:p w14:paraId="7EBB979F">
      <w:pPr>
        <w:pStyle w:val="39"/>
        <w:bidi w:val="0"/>
        <w:rPr>
          <w:rFonts w:hint="default"/>
          <w:szCs w:val="24"/>
          <w:lang w:val="en-US" w:eastAsia="zh-CN"/>
        </w:rPr>
      </w:pPr>
      <w:r>
        <w:rPr>
          <w:rFonts w:hint="default"/>
          <w:szCs w:val="24"/>
          <w:lang w:val="en-US" w:eastAsia="zh-CN"/>
        </w:rPr>
        <w:t>知识改变命运，技能成就未来。为期一个月的柴桑中职学校TCL（智能制造）专业第二届技能大赛圆满落幕，2023年6月16日，表彰总结大会在学校报告厅隆重举行。“说到做到、快乐学习、大国工匠、精益求精”学生的口号响彻报告厅</w:t>
      </w:r>
    </w:p>
    <w:p w14:paraId="093DD7CE">
      <w:pPr>
        <w:pStyle w:val="39"/>
        <w:bidi w:val="0"/>
        <w:rPr>
          <w:rFonts w:hint="default"/>
          <w:szCs w:val="24"/>
          <w:lang w:val="en-US" w:eastAsia="zh-CN"/>
        </w:rPr>
      </w:pPr>
      <w:r>
        <w:rPr>
          <w:rFonts w:hint="default"/>
          <w:szCs w:val="24"/>
          <w:lang w:val="en-US" w:eastAsia="zh-CN"/>
        </w:rPr>
        <w:t>会上共表彰技能大赛优秀奖4人，技能大赛一、二、三等奖共6人，另外还表彰了优秀学生、优秀班干部、道德模范、班级进步学生以及优秀班主任。学校领导为获奖学生颁发获奖证书、奖杯和奖金</w:t>
      </w:r>
      <w:r>
        <w:rPr>
          <w:rFonts w:hint="eastAsia"/>
          <w:szCs w:val="24"/>
          <w:lang w:val="en-US" w:eastAsia="zh-CN"/>
        </w:rPr>
        <w:t>，</w:t>
      </w:r>
      <w:r>
        <w:rPr>
          <w:rFonts w:hint="default"/>
          <w:szCs w:val="24"/>
          <w:lang w:val="en-US" w:eastAsia="zh-CN"/>
        </w:rPr>
        <w:t>获奖学生与家长代表做了发言。</w:t>
      </w:r>
    </w:p>
    <w:p w14:paraId="2E8093F5">
      <w:pPr>
        <w:pStyle w:val="39"/>
        <w:bidi w:val="0"/>
        <w:rPr>
          <w:rFonts w:hint="default"/>
          <w:szCs w:val="24"/>
          <w:lang w:val="en-US" w:eastAsia="zh-CN"/>
        </w:rPr>
      </w:pPr>
      <w:r>
        <w:rPr>
          <w:rFonts w:hint="default"/>
          <w:szCs w:val="24"/>
          <w:lang w:val="en-US" w:eastAsia="zh-CN"/>
        </w:rPr>
        <w:t>据了解，本学期以来柴桑中职学校TCL（智能制造）专业得到了高速的发展与提高，智能制造技术应用示范特色专业及实训基地建设项目各项工作得到稳步推进，进一步改善了老师及同学们的实操教学环境及技能提升。</w:t>
      </w:r>
    </w:p>
    <w:p w14:paraId="6D136467">
      <w:pPr>
        <w:pStyle w:val="39"/>
        <w:bidi w:val="0"/>
        <w:rPr>
          <w:rFonts w:hint="default"/>
          <w:szCs w:val="24"/>
          <w:lang w:val="en-US" w:eastAsia="zh-CN"/>
        </w:rPr>
      </w:pPr>
      <w:r>
        <w:rPr>
          <w:rFonts w:hint="default"/>
          <w:szCs w:val="24"/>
          <w:lang w:val="en-US" w:eastAsia="zh-CN"/>
        </w:rPr>
        <w:t>为树立典型、激励先进、鞭策后进，在2023年春季学期柴桑区中等职业技术学校、江西省启润教育科技有限公司联合举办的TCL（智能制造）专业第二届“技能大赛”中取得了圆满成功。</w:t>
      </w:r>
    </w:p>
    <w:bookmarkEnd w:id="17"/>
    <w:p w14:paraId="792E878B">
      <w:pPr>
        <w:rPr>
          <w:rFonts w:hint="eastAsia"/>
          <w:szCs w:val="24"/>
          <w:lang w:val="en-US" w:eastAsia="zh-CN"/>
        </w:rPr>
      </w:pPr>
      <w:r>
        <w:rPr>
          <w:rFonts w:hint="eastAsia"/>
          <w:szCs w:val="24"/>
          <w:lang w:val="en-US" w:eastAsia="zh-CN"/>
        </w:rPr>
        <w:br w:type="page"/>
      </w:r>
    </w:p>
    <w:p w14:paraId="6BE6BB9D">
      <w:pPr>
        <w:pStyle w:val="15"/>
        <w:numPr>
          <w:ilvl w:val="0"/>
          <w:numId w:val="0"/>
        </w:numPr>
        <w:bidi w:val="0"/>
        <w:ind w:left="0" w:leftChars="0" w:firstLine="640" w:firstLineChars="200"/>
        <w:rPr>
          <w:rFonts w:hint="eastAsia"/>
          <w:lang w:val="en-US" w:eastAsia="zh-CN"/>
        </w:rPr>
      </w:pPr>
      <w:bookmarkStart w:id="55" w:name="_Toc21089"/>
      <w:bookmarkStart w:id="56" w:name="_Toc19951"/>
      <w:r>
        <w:rPr>
          <w:rFonts w:hint="eastAsia"/>
          <w:lang w:val="en-US" w:eastAsia="zh-CN"/>
        </w:rPr>
        <w:t>3 服务贡献</w:t>
      </w:r>
      <w:bookmarkEnd w:id="55"/>
      <w:bookmarkEnd w:id="56"/>
    </w:p>
    <w:p w14:paraId="244646C1">
      <w:pPr>
        <w:pStyle w:val="36"/>
        <w:bidi w:val="0"/>
        <w:rPr>
          <w:rFonts w:hint="eastAsia"/>
          <w:lang w:val="en-US" w:eastAsia="zh-CN"/>
        </w:rPr>
      </w:pPr>
      <w:bookmarkStart w:id="57" w:name="_Toc26704"/>
      <w:r>
        <w:rPr>
          <w:rFonts w:hint="eastAsia"/>
          <w:lang w:val="en-US" w:eastAsia="zh-CN"/>
        </w:rPr>
        <w:t>3.1 服务经济</w:t>
      </w:r>
      <w:bookmarkEnd w:id="57"/>
    </w:p>
    <w:p w14:paraId="14D2DCCD">
      <w:pPr>
        <w:pStyle w:val="16"/>
        <w:bidi w:val="0"/>
        <w:rPr>
          <w:rFonts w:hint="default"/>
          <w:color w:val="FF0000"/>
          <w:lang w:val="en-US" w:eastAsia="zh-CN"/>
        </w:rPr>
      </w:pPr>
      <w:r>
        <w:rPr>
          <w:rFonts w:hint="default"/>
          <w:lang w:val="en-US" w:eastAsia="zh-CN"/>
        </w:rPr>
        <w:t>各中职学校服务省、市重大战略，重点服务制造业高端化、智能化、绿色化发展，以及战略性新兴产业融合集群发展。紧密围绕“1269”行动计划及我省重点产业链，提升专业与产业契合度</w:t>
      </w:r>
      <w:r>
        <w:rPr>
          <w:rFonts w:hint="eastAsia"/>
          <w:lang w:val="en-US" w:eastAsia="zh-CN"/>
        </w:rPr>
        <w:t>。</w:t>
      </w:r>
    </w:p>
    <w:p w14:paraId="78ADC644">
      <w:pPr>
        <w:pStyle w:val="16"/>
        <w:bidi w:val="0"/>
        <w:rPr>
          <w:rFonts w:hint="default"/>
          <w:lang w:val="en-US" w:eastAsia="zh-CN"/>
        </w:rPr>
      </w:pPr>
      <w:r>
        <w:rPr>
          <w:rFonts w:hint="eastAsia"/>
          <w:lang w:val="en-US" w:eastAsia="zh-CN"/>
        </w:rPr>
        <w:t>各中职学校正在</w:t>
      </w:r>
      <w:r>
        <w:rPr>
          <w:rFonts w:hint="default"/>
          <w:lang w:val="en-US" w:eastAsia="zh-CN"/>
        </w:rPr>
        <w:t>充分发挥县级中等职业学校学习中心作用，建设</w:t>
      </w:r>
      <w:r>
        <w:rPr>
          <w:rFonts w:hint="eastAsia"/>
          <w:lang w:val="en-US" w:eastAsia="zh-CN"/>
        </w:rPr>
        <w:t>成为</w:t>
      </w:r>
      <w:r>
        <w:rPr>
          <w:rFonts w:hint="default"/>
          <w:lang w:val="en-US" w:eastAsia="zh-CN"/>
        </w:rPr>
        <w:t>服务当地经济社会发展，面向当地各类学习群体，以中等职业学校为主体，兼具技术技能人才培养、农村劳动力转移培训、技术培训与推广、扶贫开发培训、义务教育学生职业启蒙、中小学生劳动教育、社区教育等综合功能的办学实体。</w:t>
      </w:r>
    </w:p>
    <w:p w14:paraId="0E052651">
      <w:pPr>
        <w:pStyle w:val="37"/>
        <w:bidi w:val="0"/>
        <w:rPr>
          <w:rFonts w:hint="default"/>
          <w:lang w:val="en-US" w:eastAsia="zh-CN"/>
        </w:rPr>
      </w:pPr>
      <w:bookmarkStart w:id="58" w:name="_Toc15000"/>
      <w:r>
        <w:rPr>
          <w:rFonts w:hint="default"/>
          <w:lang w:val="en-US" w:eastAsia="zh-CN"/>
        </w:rPr>
        <w:t>案例</w:t>
      </w:r>
      <w:r>
        <w:rPr>
          <w:rFonts w:hint="eastAsia"/>
          <w:lang w:val="en-US" w:eastAsia="zh-CN"/>
        </w:rPr>
        <w:t>4</w:t>
      </w:r>
      <w:r>
        <w:rPr>
          <w:rFonts w:hint="default"/>
          <w:lang w:val="en-US" w:eastAsia="zh-CN"/>
        </w:rPr>
        <w:t>：</w:t>
      </w:r>
      <w:r>
        <w:rPr>
          <w:rFonts w:hint="eastAsia"/>
          <w:lang w:val="en-US" w:eastAsia="zh-CN"/>
        </w:rPr>
        <w:t>九江科技中专</w:t>
      </w:r>
      <w:r>
        <w:rPr>
          <w:rFonts w:hint="default"/>
          <w:lang w:val="en-US" w:eastAsia="zh-CN"/>
        </w:rPr>
        <w:t>“产教融合、校企共育”谱新篇</w:t>
      </w:r>
      <w:bookmarkEnd w:id="58"/>
      <w:r>
        <w:rPr>
          <w:rFonts w:hint="default"/>
          <w:lang w:val="en-US" w:eastAsia="zh-CN"/>
        </w:rPr>
        <w:t xml:space="preserve"> </w:t>
      </w:r>
    </w:p>
    <w:p w14:paraId="1D8BC526">
      <w:pPr>
        <w:pStyle w:val="39"/>
        <w:bidi w:val="0"/>
        <w:rPr>
          <w:rFonts w:hint="default"/>
          <w:lang w:val="en-US" w:eastAsia="zh-CN"/>
        </w:rPr>
      </w:pPr>
      <w:r>
        <w:rPr>
          <w:rFonts w:hint="default"/>
          <w:lang w:val="en-US" w:eastAsia="zh-CN"/>
        </w:rPr>
        <w:t>一、实施背景。当代中国，经济正在由高速增长向高质量发展转变，产业也由“中国制造”向“中国智造”、“中国创造”的要求转型升级，人才需求发生了根本性变化。职业学校必须紧跟时代要求，深层次解决教育中出现的问题。</w:t>
      </w:r>
    </w:p>
    <w:p w14:paraId="6CE25F46">
      <w:pPr>
        <w:pStyle w:val="39"/>
        <w:bidi w:val="0"/>
        <w:rPr>
          <w:rFonts w:hint="default"/>
          <w:lang w:val="en-US" w:eastAsia="zh-CN"/>
        </w:rPr>
      </w:pPr>
      <w:r>
        <w:rPr>
          <w:rFonts w:hint="default"/>
          <w:lang w:val="en-US" w:eastAsia="zh-CN"/>
        </w:rPr>
        <w:t>二、主要做法。一是订单培养，校企共育。学校与东南（福建）汽车工业有限公司战略合作协议，在学生订单式培养、实训实习基地建设、师资培训和学生实习就业等进行了全方位合作。还与车轻松汽车美容养护会所、新大洲本田摩托有限公司、九江市开发区酷车汇汽车服务会所和九江市新运通汽车技术服务站等汽车类相关企业开展了形式多样的校企合作，为专业教学提供了优质平台。二是紧跟市场需求，为专业建设注入新的活力。三是共同开展师资队伍建设。</w:t>
      </w:r>
    </w:p>
    <w:p w14:paraId="0E4FFD52">
      <w:pPr>
        <w:pStyle w:val="39"/>
        <w:bidi w:val="0"/>
        <w:rPr>
          <w:rFonts w:hint="default"/>
          <w:lang w:val="en-US" w:eastAsia="zh-CN"/>
        </w:rPr>
      </w:pPr>
      <w:r>
        <w:rPr>
          <w:rFonts w:hint="default"/>
          <w:lang w:val="en-US" w:eastAsia="zh-CN"/>
        </w:rPr>
        <w:t>三、主要成果与成效。一是提升了学生综合素养。二是服务了当地经济社会发展。三是促进了老师教学水平的提高。四是专业毕业生得到了社会的好评。</w:t>
      </w:r>
    </w:p>
    <w:p w14:paraId="55182C46">
      <w:pPr>
        <w:pStyle w:val="39"/>
        <w:bidi w:val="0"/>
        <w:rPr>
          <w:rFonts w:hint="default"/>
          <w:lang w:val="en-US" w:eastAsia="zh-CN"/>
        </w:rPr>
      </w:pPr>
      <w:r>
        <w:rPr>
          <w:rFonts w:hint="default"/>
          <w:lang w:val="en-US" w:eastAsia="zh-CN"/>
        </w:rPr>
        <w:t>四、经验总结。一是企业的支持很重要。二是校企合作模式选择要具体问题具体分析。三是注重提高学生职业素养及职业规划的能力。</w:t>
      </w:r>
    </w:p>
    <w:p w14:paraId="2E426467">
      <w:pPr>
        <w:pStyle w:val="39"/>
        <w:bidi w:val="0"/>
        <w:rPr>
          <w:rFonts w:hint="default"/>
          <w:lang w:val="en-US" w:eastAsia="zh-CN"/>
        </w:rPr>
      </w:pPr>
      <w:r>
        <w:rPr>
          <w:rFonts w:hint="default"/>
          <w:lang w:val="en-US" w:eastAsia="zh-CN"/>
        </w:rPr>
        <w:t>五、推广应用。根据合作企业的要求，在实施专业教学过程中，有针对性的开展分模块教学，比如汽车专业就可以按技能目标分为汽车钣金涂装、汽车机电维修、汽车营销服务等模块，从而使学生基础知识扎实的情况，精练所选技能。</w:t>
      </w:r>
    </w:p>
    <w:p w14:paraId="6C4E6CC4">
      <w:pPr>
        <w:pStyle w:val="36"/>
        <w:bidi w:val="0"/>
        <w:rPr>
          <w:rFonts w:hint="default"/>
          <w:lang w:val="en-US" w:eastAsia="zh-CN"/>
        </w:rPr>
      </w:pPr>
      <w:bookmarkStart w:id="59" w:name="_Toc19114"/>
      <w:r>
        <w:rPr>
          <w:rFonts w:hint="eastAsia"/>
          <w:lang w:val="en-US" w:eastAsia="zh-CN"/>
        </w:rPr>
        <w:t>3.2 服务社会</w:t>
      </w:r>
      <w:bookmarkEnd w:id="59"/>
    </w:p>
    <w:p w14:paraId="07658EDB">
      <w:pPr>
        <w:pStyle w:val="16"/>
        <w:rPr>
          <w:rFonts w:hint="default"/>
          <w:lang w:val="en-US" w:eastAsia="zh-CN"/>
        </w:rPr>
      </w:pPr>
      <w:r>
        <w:rPr>
          <w:rFonts w:hint="eastAsia"/>
          <w:lang w:val="en-US" w:eastAsia="zh-CN"/>
        </w:rPr>
        <w:t>各中职学校把办好职业学校与繁荣经济、促进就业、消除贫困、维护稳定紧密结合起来，服务经济发展方式的转变，服务产业结构的转移和升级，满足广大求学者、求技者的需要。各中职学校持续加大社会培训力度，拓宽培训工种并积极开展职业培训，帮助当地掌握就业所需的技能和知识，提高其就业竞争力。2023年各中职学校共开展非学历培训项目数72个，共计8951学时，其中公益项目1214学时。非学历培训到账经费总计252.88万元。</w:t>
      </w:r>
    </w:p>
    <w:p w14:paraId="74A20BC6">
      <w:pPr>
        <w:pStyle w:val="37"/>
        <w:bidi w:val="0"/>
        <w:rPr>
          <w:rFonts w:hint="default"/>
          <w:lang w:val="en-US" w:eastAsia="zh-CN"/>
        </w:rPr>
      </w:pPr>
      <w:bookmarkStart w:id="60" w:name="_Toc14374"/>
      <w:r>
        <w:rPr>
          <w:rFonts w:hint="eastAsia"/>
          <w:lang w:val="en-US" w:eastAsia="zh-CN"/>
        </w:rPr>
        <w:t>案例5：瑞昌中专建设退役军人培训中心</w:t>
      </w:r>
      <w:bookmarkEnd w:id="60"/>
    </w:p>
    <w:p w14:paraId="06ADE7F5">
      <w:pPr>
        <w:pStyle w:val="39"/>
        <w:bidi w:val="0"/>
        <w:rPr>
          <w:rFonts w:hint="eastAsia"/>
          <w:lang w:val="en-US" w:eastAsia="zh-CN"/>
        </w:rPr>
      </w:pPr>
      <w:r>
        <w:rPr>
          <w:rFonts w:hint="eastAsia"/>
          <w:lang w:val="en-US" w:eastAsia="zh-CN"/>
        </w:rPr>
        <w:t>为进一步增强我市退役军人知识储备，提升就业竞争能力，帮助退役军人加快角色转变、积极适应岗位，推动退役军人在家乡建设上贡献自己的力量。</w:t>
      </w:r>
    </w:p>
    <w:p w14:paraId="704D431A">
      <w:pPr>
        <w:pStyle w:val="39"/>
        <w:bidi w:val="0"/>
        <w:rPr>
          <w:rFonts w:hint="eastAsia"/>
          <w:lang w:val="en-US" w:eastAsia="zh-CN"/>
        </w:rPr>
      </w:pPr>
      <w:r>
        <w:rPr>
          <w:rFonts w:hint="eastAsia"/>
          <w:lang w:val="en-US" w:eastAsia="zh-CN"/>
        </w:rPr>
        <w:t>从2022年12月份，瑞昌市整合全市退役军人培训资源，依托瑞昌中等专业学校，设立了“瑞昌市退役军人培训中心”，并认真组织开展了瑞昌市退役军人的培训工作。中心实行“三专”模式，有专（兼）职讲师10余名，编制有专业教材，配有独立办公室、多媒体培训教室，为退役军人提供良好的师资力量和学习环境。</w:t>
      </w:r>
    </w:p>
    <w:p w14:paraId="2A45FF86">
      <w:pPr>
        <w:pStyle w:val="39"/>
        <w:bidi w:val="0"/>
        <w:rPr>
          <w:rFonts w:hint="eastAsia"/>
          <w:lang w:val="en-US" w:eastAsia="zh-CN"/>
        </w:rPr>
      </w:pPr>
      <w:r>
        <w:rPr>
          <w:rFonts w:hint="eastAsia"/>
          <w:lang w:val="en-US" w:eastAsia="zh-CN"/>
        </w:rPr>
        <w:t>今年9月正式招收培训人员17人，10月底举行了开班仪式，培训周期为3个月，有效地提升了退役军人的整体素质。首次参培人员包含了“电子技术应用”“烹饪（西点）”“数控技术应用”“计算机应用”等热门技能。</w:t>
      </w:r>
    </w:p>
    <w:p w14:paraId="0364C7D9">
      <w:pPr>
        <w:pStyle w:val="16"/>
        <w:rPr>
          <w:rFonts w:hint="eastAsia"/>
          <w:lang w:val="en-US" w:eastAsia="zh-CN"/>
        </w:rPr>
      </w:pPr>
      <w:r>
        <w:rPr>
          <w:rFonts w:hint="eastAsia"/>
          <w:lang w:val="en-US" w:eastAsia="zh-CN"/>
        </w:rPr>
        <w:t>2023年是巩固拓展脱贫攻坚成果同乡村振兴有效衔接的关键之年。各中职学校持续深入贯彻落实习近平总书记关于巩固拓展脱贫攻坚成果同乡村振兴有效衔接的系列重要讲话精神及省、市决策部署，统筹优势资源力量，用心用情用力做好乡村振兴定点帮扶工作。</w:t>
      </w:r>
    </w:p>
    <w:p w14:paraId="1EFDF707">
      <w:pPr>
        <w:pStyle w:val="16"/>
        <w:rPr>
          <w:rFonts w:hint="eastAsia"/>
          <w:lang w:val="en-US" w:eastAsia="zh-CN"/>
        </w:rPr>
      </w:pPr>
      <w:r>
        <w:rPr>
          <w:rFonts w:hint="eastAsia"/>
          <w:lang w:val="en-US" w:eastAsia="zh-CN"/>
        </w:rPr>
        <w:t>各校多次选派师生参与暑期三下乡和技能进社区等活动，走进社区、乡村开展了电子电器维修、服装修补、汽车清洗、科普支农等为民服务，充分发挥了中职学校学生的技术技能优势，在活动中服务了群众，取得了良好效果。</w:t>
      </w:r>
    </w:p>
    <w:p w14:paraId="22DC49F2">
      <w:pPr>
        <w:pStyle w:val="16"/>
        <w:ind w:left="0" w:leftChars="0" w:firstLine="0" w:firstLineChars="0"/>
        <w:rPr>
          <w:rFonts w:hint="eastAsia"/>
          <w:lang w:val="en-US" w:eastAsia="zh-CN"/>
        </w:rPr>
      </w:pPr>
    </w:p>
    <w:p w14:paraId="1926DCFD">
      <w:pPr>
        <w:pStyle w:val="16"/>
        <w:ind w:left="0" w:leftChars="0" w:firstLine="0" w:firstLineChars="0"/>
        <w:rPr>
          <w:rFonts w:hint="eastAsia"/>
          <w:lang w:val="en-US" w:eastAsia="zh-CN"/>
        </w:rPr>
      </w:pPr>
    </w:p>
    <w:p w14:paraId="6BDFBCAE">
      <w:pPr>
        <w:pStyle w:val="16"/>
        <w:ind w:left="0" w:leftChars="0" w:firstLine="0" w:firstLineChars="0"/>
        <w:rPr>
          <w:rFonts w:hint="eastAsia"/>
          <w:lang w:val="en-US" w:eastAsia="zh-CN"/>
        </w:rPr>
      </w:pPr>
      <w:r>
        <w:rPr>
          <w:rFonts w:hint="eastAsia"/>
          <w:lang w:val="en-US" w:eastAsia="zh-CN"/>
        </w:rPr>
        <w:drawing>
          <wp:inline distT="0" distB="0" distL="114300" distR="114300">
            <wp:extent cx="5145405" cy="3850005"/>
            <wp:effectExtent l="0" t="0" r="17145" b="17145"/>
            <wp:docPr id="4" name="图片 4" descr="11"/>
            <wp:cNvGraphicFramePr/>
            <a:graphic xmlns:a="http://schemas.openxmlformats.org/drawingml/2006/main">
              <a:graphicData uri="http://schemas.openxmlformats.org/drawingml/2006/picture">
                <pic:pic xmlns:pic="http://schemas.openxmlformats.org/drawingml/2006/picture">
                  <pic:nvPicPr>
                    <pic:cNvPr id="4" name="图片 4" descr="11"/>
                    <pic:cNvPicPr/>
                  </pic:nvPicPr>
                  <pic:blipFill>
                    <a:blip r:embed="rId13"/>
                    <a:srcRect l="867" t="50761" r="3203" b="679"/>
                    <a:stretch>
                      <a:fillRect/>
                    </a:stretch>
                  </pic:blipFill>
                  <pic:spPr>
                    <a:xfrm>
                      <a:off x="0" y="0"/>
                      <a:ext cx="5145405" cy="3850005"/>
                    </a:xfrm>
                    <a:prstGeom prst="rect">
                      <a:avLst/>
                    </a:prstGeom>
                  </pic:spPr>
                </pic:pic>
              </a:graphicData>
            </a:graphic>
          </wp:inline>
        </w:drawing>
      </w:r>
    </w:p>
    <w:p w14:paraId="6EF00BD6">
      <w:pPr>
        <w:pStyle w:val="40"/>
        <w:bidi w:val="0"/>
        <w:rPr>
          <w:rFonts w:hint="default"/>
          <w:lang w:val="en-US" w:eastAsia="zh-CN"/>
        </w:rPr>
      </w:pPr>
      <w:bookmarkStart w:id="61" w:name="_Toc12977"/>
      <w:r>
        <w:rPr>
          <w:rFonts w:hint="eastAsia"/>
          <w:lang w:val="en-US" w:eastAsia="zh-CN"/>
        </w:rPr>
        <w:t>图6：彭泽中专组织学生到棉船镇幸福家院进行志愿服务</w:t>
      </w:r>
      <w:bookmarkEnd w:id="61"/>
    </w:p>
    <w:p w14:paraId="3DC2B1B7">
      <w:pPr>
        <w:pStyle w:val="16"/>
        <w:ind w:left="0" w:leftChars="0" w:firstLine="0" w:firstLineChars="0"/>
        <w:jc w:val="center"/>
        <w:rPr>
          <w:rFonts w:hint="eastAsia"/>
          <w:lang w:val="en-US" w:eastAsia="zh-CN"/>
        </w:rPr>
      </w:pPr>
      <w:r>
        <w:rPr>
          <w:rFonts w:hint="eastAsia" w:ascii="仿宋_GB2312" w:hAnsi="仿宋_GB2312" w:eastAsia="仿宋_GB2312" w:cs="仿宋_GB2312"/>
          <w:sz w:val="32"/>
          <w:szCs w:val="32"/>
        </w:rPr>
        <w:drawing>
          <wp:inline distT="0" distB="0" distL="114300" distR="114300">
            <wp:extent cx="5039995" cy="2835275"/>
            <wp:effectExtent l="0" t="0" r="8255" b="3175"/>
            <wp:docPr id="11" name="图片 11" descr="b86c3e879f6c41d26eb72bb0322139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86c3e879f6c41d26eb72bb03221399f"/>
                    <pic:cNvPicPr>
                      <a:picLocks noChangeAspect="1"/>
                    </pic:cNvPicPr>
                  </pic:nvPicPr>
                  <pic:blipFill>
                    <a:blip r:embed="rId14"/>
                    <a:srcRect t="12516" b="12516"/>
                    <a:stretch>
                      <a:fillRect/>
                    </a:stretch>
                  </pic:blipFill>
                  <pic:spPr>
                    <a:xfrm>
                      <a:off x="0" y="0"/>
                      <a:ext cx="5039995" cy="2835275"/>
                    </a:xfrm>
                    <a:prstGeom prst="rect">
                      <a:avLst/>
                    </a:prstGeom>
                  </pic:spPr>
                </pic:pic>
              </a:graphicData>
            </a:graphic>
          </wp:inline>
        </w:drawing>
      </w:r>
    </w:p>
    <w:p w14:paraId="47CD50F9">
      <w:pPr>
        <w:pStyle w:val="40"/>
        <w:bidi w:val="0"/>
        <w:rPr>
          <w:rFonts w:hint="default"/>
          <w:lang w:val="en-US" w:eastAsia="zh-CN"/>
        </w:rPr>
      </w:pPr>
      <w:bookmarkStart w:id="62" w:name="_Toc32302"/>
      <w:r>
        <w:rPr>
          <w:rFonts w:hint="eastAsia"/>
          <w:lang w:val="en-US" w:eastAsia="zh-CN"/>
        </w:rPr>
        <w:t>图7：九江市卫生学校组织志愿者进入永安乡志愿服务</w:t>
      </w:r>
      <w:bookmarkEnd w:id="62"/>
    </w:p>
    <w:p w14:paraId="51CE896B">
      <w:pPr>
        <w:rPr>
          <w:rFonts w:hint="eastAsia"/>
          <w:lang w:val="en-US" w:eastAsia="zh-CN"/>
        </w:rPr>
      </w:pPr>
      <w:bookmarkStart w:id="63" w:name="_Toc1901"/>
      <w:r>
        <w:rPr>
          <w:rFonts w:hint="eastAsia"/>
          <w:lang w:val="en-US" w:eastAsia="zh-CN"/>
        </w:rPr>
        <w:br w:type="page"/>
      </w:r>
    </w:p>
    <w:p w14:paraId="5C736C2F">
      <w:pPr>
        <w:pStyle w:val="15"/>
        <w:numPr>
          <w:ilvl w:val="0"/>
          <w:numId w:val="0"/>
        </w:numPr>
        <w:bidi w:val="0"/>
        <w:ind w:left="0" w:leftChars="0" w:firstLine="640" w:firstLineChars="200"/>
        <w:rPr>
          <w:rFonts w:hint="eastAsia"/>
          <w:lang w:val="en-US" w:eastAsia="zh-CN"/>
        </w:rPr>
      </w:pPr>
      <w:bookmarkStart w:id="64" w:name="_Toc19863"/>
      <w:r>
        <w:rPr>
          <w:rFonts w:hint="eastAsia"/>
          <w:lang w:val="en-US" w:eastAsia="zh-CN"/>
        </w:rPr>
        <w:t>4 文化传承</w:t>
      </w:r>
      <w:bookmarkEnd w:id="63"/>
      <w:bookmarkEnd w:id="64"/>
    </w:p>
    <w:p w14:paraId="500B6809">
      <w:pPr>
        <w:pStyle w:val="36"/>
        <w:bidi w:val="0"/>
        <w:rPr>
          <w:rFonts w:hint="default"/>
          <w:lang w:val="en-US" w:eastAsia="zh-CN"/>
        </w:rPr>
      </w:pPr>
      <w:bookmarkStart w:id="65" w:name="_Toc19348"/>
      <w:r>
        <w:rPr>
          <w:rFonts w:hint="eastAsia"/>
          <w:lang w:val="en-US" w:eastAsia="zh-CN"/>
        </w:rPr>
        <w:t>4.1 工匠精神</w:t>
      </w:r>
      <w:bookmarkEnd w:id="65"/>
    </w:p>
    <w:p w14:paraId="5A1A720E">
      <w:pPr>
        <w:pStyle w:val="16"/>
        <w:rPr>
          <w:rFonts w:hint="eastAsia"/>
          <w:lang w:val="en-US" w:eastAsia="zh-CN"/>
        </w:rPr>
      </w:pPr>
      <w:r>
        <w:rPr>
          <w:rFonts w:hint="eastAsia"/>
          <w:lang w:val="en-US" w:eastAsia="zh-CN"/>
        </w:rPr>
        <w:t>各中职学校大力弘扬工匠精神，注重学生的职业道德、职业能力、职业品质的培养，通过升旗仪式、主题班会等形式，开展学习工匠精神、弘扬劳模精神主题活动，营造劳动光荣的社会风尚和精益求精的校园学习氛围，让同学们专注自身专业技术技能，严格要求自己，培养追求卓越的创造精神、精益求精的品质精神</w:t>
      </w:r>
    </w:p>
    <w:p w14:paraId="43B0723B">
      <w:pPr>
        <w:pStyle w:val="16"/>
        <w:ind w:left="0" w:leftChars="0" w:firstLine="0" w:firstLineChars="0"/>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drawing>
          <wp:inline distT="0" distB="0" distL="114300" distR="114300">
            <wp:extent cx="5039995" cy="3370580"/>
            <wp:effectExtent l="0" t="0" r="8255" b="1270"/>
            <wp:docPr id="16" name="图片 16" descr="430bfe191235803e2dfd0760c5c2c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30bfe191235803e2dfd0760c5c2ccd"/>
                    <pic:cNvPicPr>
                      <a:picLocks noChangeAspect="1"/>
                    </pic:cNvPicPr>
                  </pic:nvPicPr>
                  <pic:blipFill>
                    <a:blip r:embed="rId15"/>
                    <a:stretch>
                      <a:fillRect/>
                    </a:stretch>
                  </pic:blipFill>
                  <pic:spPr>
                    <a:xfrm>
                      <a:off x="0" y="0"/>
                      <a:ext cx="5039995" cy="3370580"/>
                    </a:xfrm>
                    <a:prstGeom prst="rect">
                      <a:avLst/>
                    </a:prstGeom>
                  </pic:spPr>
                </pic:pic>
              </a:graphicData>
            </a:graphic>
          </wp:inline>
        </w:drawing>
      </w:r>
    </w:p>
    <w:p w14:paraId="26067ECA">
      <w:pPr>
        <w:pStyle w:val="40"/>
        <w:bidi w:val="0"/>
        <w:rPr>
          <w:rFonts w:hint="default"/>
          <w:lang w:val="en-US" w:eastAsia="zh-CN"/>
        </w:rPr>
      </w:pPr>
      <w:bookmarkStart w:id="66" w:name="_Toc8234"/>
      <w:r>
        <w:rPr>
          <w:rFonts w:hint="eastAsia"/>
          <w:lang w:val="en-US" w:eastAsia="zh-CN"/>
        </w:rPr>
        <w:t>图8：德安中专思政大课堂</w:t>
      </w:r>
      <w:bookmarkEnd w:id="66"/>
    </w:p>
    <w:p w14:paraId="388BA2A1">
      <w:pPr>
        <w:pStyle w:val="16"/>
        <w:rPr>
          <w:rFonts w:hint="eastAsia"/>
          <w:lang w:val="en-US" w:eastAsia="zh-CN"/>
        </w:rPr>
      </w:pPr>
      <w:r>
        <w:rPr>
          <w:rFonts w:hint="eastAsia"/>
          <w:lang w:val="en-US" w:eastAsia="zh-CN"/>
        </w:rPr>
        <w:t>定期开展技能活动节，通过教师教学技能比赛、学生技能比赛等赛事，加强校园文化内涵建设，发挥技能竞赛对教与学的助推作用，搭建师生技能竞赛的竞技舞台，弘扬“劳动光荣、技能宝贵、创造伟大”的时代风尚，充分展示中职师生技能风采和教学改革成果。</w:t>
      </w:r>
    </w:p>
    <w:p w14:paraId="7E137E47">
      <w:pPr>
        <w:pStyle w:val="16"/>
        <w:rPr>
          <w:rFonts w:hint="eastAsia"/>
          <w:lang w:val="en-US" w:eastAsia="zh-CN"/>
        </w:rPr>
      </w:pPr>
      <w:r>
        <w:rPr>
          <w:rFonts w:hint="eastAsia"/>
          <w:lang w:val="en-US" w:eastAsia="zh-CN"/>
        </w:rPr>
        <w:t>积极宣传推广，通过宣传栏、校园广播、微信公众号等渠道加强对工匠精神的宣传推广，提高学生对工匠精神的认知度和认同感，营造尊重劳动、尊重创造的良好氛围。</w:t>
      </w:r>
    </w:p>
    <w:p w14:paraId="72B56946">
      <w:pPr>
        <w:pStyle w:val="36"/>
        <w:bidi w:val="0"/>
        <w:rPr>
          <w:rFonts w:hint="eastAsia"/>
          <w:lang w:val="en-US" w:eastAsia="zh-CN"/>
        </w:rPr>
      </w:pPr>
      <w:bookmarkStart w:id="67" w:name="_Toc28482"/>
      <w:r>
        <w:rPr>
          <w:rFonts w:hint="eastAsia"/>
          <w:lang w:val="en-US" w:eastAsia="zh-CN"/>
        </w:rPr>
        <w:t>4.2 红色文化</w:t>
      </w:r>
      <w:bookmarkEnd w:id="67"/>
    </w:p>
    <w:p w14:paraId="6AD9EC94">
      <w:pPr>
        <w:pStyle w:val="16"/>
        <w:rPr>
          <w:rFonts w:hint="default"/>
          <w:lang w:val="en-US" w:eastAsia="zh-CN"/>
        </w:rPr>
      </w:pPr>
      <w:r>
        <w:rPr>
          <w:rFonts w:hint="default"/>
          <w:lang w:val="en-US" w:eastAsia="zh-CN"/>
        </w:rPr>
        <w:t>贯彻落实《新时代爱国主义教育实施纲要》，将爱国主义精神纳入教育教学实践环节，推动爱国主义教育进课堂、校领导讲党课，思政大课堂等活动，将爱国主义精神传承做到入脑入心.为认真贯彻落实《新时代爱国主义教育实施纲要》《新时代公民道德建设实施纲要》，结合党史学习教育有关要求，深化“扣好人生第一粒扣子”主题教育实践活动，充分运用“九一八事变”纪念日，进⼀步推进和践行社会主义核心价值观教育活动的深入开展。</w:t>
      </w:r>
    </w:p>
    <w:p w14:paraId="70FE2E4A">
      <w:pPr>
        <w:pStyle w:val="16"/>
        <w:rPr>
          <w:rFonts w:hint="default"/>
          <w:lang w:val="en-US" w:eastAsia="zh-CN"/>
        </w:rPr>
      </w:pPr>
      <w:r>
        <w:rPr>
          <w:rFonts w:hint="default"/>
          <w:lang w:val="en-US" w:eastAsia="zh-CN"/>
        </w:rPr>
        <w:t>结合重大纪念日、节日活动，培养学生爱国、爱党、爱集体、爱家乡的情感。通过开展形式多样的校园活动让学生铭记革命历史，了解革命先烈们为了中国的解放和革命的成功而努力战斗的艰辛历程。学习革命先烈不畏艰难、艰苦朴素的作风。激发学生热爱学习，热爱祖国，为祖国做贡献的远大理想。</w:t>
      </w:r>
    </w:p>
    <w:p w14:paraId="6F2BB5F1">
      <w:pPr>
        <w:pStyle w:val="16"/>
        <w:ind w:left="0" w:leftChars="0" w:firstLine="0" w:firstLineChars="0"/>
        <w:jc w:val="center"/>
        <w:rPr>
          <w:rFonts w:hint="eastAsia"/>
          <w:lang w:val="en-US" w:eastAsia="zh-CN"/>
        </w:rPr>
      </w:pPr>
      <w:r>
        <w:rPr>
          <w:rFonts w:hint="eastAsia"/>
          <w:lang w:val="en-US" w:eastAsia="zh-CN"/>
        </w:rPr>
        <w:drawing>
          <wp:inline distT="0" distB="0" distL="114300" distR="114300">
            <wp:extent cx="5039995" cy="3782695"/>
            <wp:effectExtent l="0" t="0" r="8255" b="8255"/>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
                    <pic:cNvPicPr>
                      <a:picLocks noChangeAspect="1"/>
                    </pic:cNvPicPr>
                  </pic:nvPicPr>
                  <pic:blipFill>
                    <a:blip r:embed="rId16"/>
                    <a:stretch>
                      <a:fillRect/>
                    </a:stretch>
                  </pic:blipFill>
                  <pic:spPr>
                    <a:xfrm>
                      <a:off x="0" y="0"/>
                      <a:ext cx="5039995" cy="3782695"/>
                    </a:xfrm>
                    <a:prstGeom prst="rect">
                      <a:avLst/>
                    </a:prstGeom>
                  </pic:spPr>
                </pic:pic>
              </a:graphicData>
            </a:graphic>
          </wp:inline>
        </w:drawing>
      </w:r>
    </w:p>
    <w:p w14:paraId="61927D86">
      <w:pPr>
        <w:pStyle w:val="40"/>
        <w:bidi w:val="0"/>
        <w:rPr>
          <w:rFonts w:hint="default"/>
          <w:lang w:val="en-US" w:eastAsia="zh-CN"/>
        </w:rPr>
      </w:pPr>
      <w:bookmarkStart w:id="68" w:name="_Toc23889"/>
      <w:r>
        <w:rPr>
          <w:rFonts w:hint="eastAsia"/>
          <w:lang w:val="en-US" w:eastAsia="zh-CN"/>
        </w:rPr>
        <w:t>图9：彭泽中专国旗护卫队</w:t>
      </w:r>
      <w:bookmarkEnd w:id="68"/>
    </w:p>
    <w:p w14:paraId="6F4CD02F">
      <w:pPr>
        <w:pStyle w:val="37"/>
        <w:bidi w:val="0"/>
        <w:rPr>
          <w:rFonts w:hint="default"/>
          <w:lang w:val="en-US" w:eastAsia="zh-CN"/>
        </w:rPr>
      </w:pPr>
      <w:bookmarkStart w:id="69" w:name="_Toc30959"/>
      <w:r>
        <w:rPr>
          <w:rFonts w:hint="default"/>
          <w:lang w:val="en-US" w:eastAsia="zh-CN"/>
        </w:rPr>
        <w:t>案例</w:t>
      </w:r>
      <w:r>
        <w:rPr>
          <w:rFonts w:hint="eastAsia"/>
          <w:lang w:val="en-US" w:eastAsia="zh-CN"/>
        </w:rPr>
        <w:t>6</w:t>
      </w:r>
      <w:r>
        <w:rPr>
          <w:rFonts w:hint="default"/>
          <w:lang w:val="en-US" w:eastAsia="zh-CN"/>
        </w:rPr>
        <w:t>：</w:t>
      </w:r>
      <w:r>
        <w:rPr>
          <w:rFonts w:hint="eastAsia"/>
          <w:lang w:val="en-US" w:eastAsia="zh-CN"/>
        </w:rPr>
        <w:t>九江理工学校组织清明祭扫先烈</w:t>
      </w:r>
      <w:bookmarkEnd w:id="69"/>
    </w:p>
    <w:p w14:paraId="31EFF008">
      <w:pPr>
        <w:pStyle w:val="39"/>
        <w:bidi w:val="0"/>
        <w:rPr>
          <w:rFonts w:hint="default"/>
          <w:lang w:val="en-US" w:eastAsia="zh-CN"/>
        </w:rPr>
      </w:pPr>
      <w:r>
        <w:rPr>
          <w:rFonts w:hint="default"/>
          <w:lang w:val="en-US" w:eastAsia="zh-CN"/>
        </w:rPr>
        <w:t>2023年3月31日上午，学校组织开展2023 年度“缅怀革命先烈 传承红色基因”清明祭扫活动，学校党支部书记余海、团委书记魏杭、学工科长曾广淼等出席活动。活动由魏杭主持。</w:t>
      </w:r>
    </w:p>
    <w:p w14:paraId="75E81FB9">
      <w:pPr>
        <w:pStyle w:val="39"/>
        <w:bidi w:val="0"/>
        <w:rPr>
          <w:rFonts w:hint="default"/>
          <w:lang w:val="en-US" w:eastAsia="zh-CN"/>
        </w:rPr>
      </w:pPr>
      <w:r>
        <w:rPr>
          <w:rFonts w:hint="default"/>
          <w:lang w:val="en-US" w:eastAsia="zh-CN"/>
        </w:rPr>
        <w:t>祭奠仪式在庄严的气氛中拉开序幕。全体肃立默哀，沉痛悼念在战争中英勇牺牲的烈士，深切缅怀革命烈士的不朽功绩和不畏牺牲的革命精神，内心充满了对革命先烈的敬仰和爱戴之情。随后，校领导代表学校向革命烈士敬献花篮。活动结束后，师生们前往陶渊明纪念馆开展红色走读活动。同学们纷纷表示，这次活动让大家更加深刻地理解了革命先烈为了国家和民族抛头颅、洒热血的高尚情怀，是他们的负重前行，才换来了我们今天的岁月静好。作为新时代的青年学生，将永远铭记家国担当，牢记革命先烈的精神和遗志，为祖国的繁荣昌盛而奋发图强，以青春之我，实现强国梦，为中华民族的伟大复兴和强大而努力学习，以实际行动告慰革命先烈忠魂。</w:t>
      </w:r>
    </w:p>
    <w:p w14:paraId="07707426">
      <w:pPr>
        <w:pStyle w:val="16"/>
        <w:ind w:left="0" w:leftChars="0" w:firstLine="0" w:firstLineChars="0"/>
        <w:rPr>
          <w:rFonts w:hint="default"/>
          <w:lang w:val="en-US" w:eastAsia="zh-CN"/>
        </w:rPr>
      </w:pPr>
    </w:p>
    <w:p w14:paraId="24AD9C19">
      <w:pPr>
        <w:pStyle w:val="36"/>
        <w:bidi w:val="0"/>
        <w:rPr>
          <w:rFonts w:hint="default"/>
          <w:lang w:val="en-US" w:eastAsia="zh-CN"/>
        </w:rPr>
      </w:pPr>
      <w:bookmarkStart w:id="70" w:name="_Toc21880"/>
      <w:r>
        <w:rPr>
          <w:rFonts w:hint="eastAsia"/>
          <w:lang w:val="en-US" w:eastAsia="zh-CN"/>
        </w:rPr>
        <w:t>4.3 社团建设</w:t>
      </w:r>
      <w:bookmarkEnd w:id="70"/>
    </w:p>
    <w:p w14:paraId="439FEC86">
      <w:pPr>
        <w:pStyle w:val="16"/>
        <w:rPr>
          <w:rFonts w:hint="default"/>
          <w:lang w:val="en-US" w:eastAsia="zh-CN"/>
        </w:rPr>
      </w:pPr>
      <w:r>
        <w:rPr>
          <w:rFonts w:hint="default"/>
          <w:lang w:val="en-US" w:eastAsia="zh-CN"/>
        </w:rPr>
        <w:t>社团是培养学生服务意识的摇篮，是学生自主发展的舞台，是学生自我教育的阵地，是培养专业技能人才的广阔平台。一直以来，</w:t>
      </w:r>
      <w:r>
        <w:rPr>
          <w:rFonts w:hint="eastAsia"/>
          <w:lang w:val="en-US" w:eastAsia="zh-CN"/>
        </w:rPr>
        <w:t>各中职学校</w:t>
      </w:r>
      <w:r>
        <w:rPr>
          <w:rFonts w:hint="default"/>
          <w:lang w:val="en-US" w:eastAsia="zh-CN"/>
        </w:rPr>
        <w:t>秉承“一切为了学生的可持续发展”的理念，充分挖掘学生的内在潜力，突出</w:t>
      </w:r>
      <w:r>
        <w:rPr>
          <w:rFonts w:hint="eastAsia"/>
          <w:lang w:val="en-US" w:eastAsia="zh-CN"/>
        </w:rPr>
        <w:t>各校</w:t>
      </w:r>
      <w:r>
        <w:rPr>
          <w:rFonts w:hint="default"/>
          <w:lang w:val="en-US" w:eastAsia="zh-CN"/>
        </w:rPr>
        <w:t>办学的特色，以社团活动促进学生自主学习与综合素质的提高。</w:t>
      </w:r>
      <w:r>
        <w:rPr>
          <w:rFonts w:hint="eastAsia"/>
          <w:lang w:val="en-US" w:eastAsia="zh-CN"/>
        </w:rPr>
        <w:t>各校均建设了</w:t>
      </w:r>
      <w:r>
        <w:rPr>
          <w:rFonts w:hint="default"/>
          <w:lang w:val="en-US" w:eastAsia="zh-CN"/>
        </w:rPr>
        <w:t>涵盖了文化、艺术、体育、心理等多个领域</w:t>
      </w:r>
      <w:r>
        <w:rPr>
          <w:rFonts w:hint="eastAsia"/>
          <w:lang w:val="en-US" w:eastAsia="zh-CN"/>
        </w:rPr>
        <w:t>的学生社团。各中职学校</w:t>
      </w:r>
      <w:r>
        <w:rPr>
          <w:rFonts w:hint="default"/>
          <w:lang w:val="en-US" w:eastAsia="zh-CN"/>
        </w:rPr>
        <w:t>积极选聘指导教师，充实建设内涵，加紧学校社团文化的建设步伐，致力为学生提供广阔的锻炼和展示平台。</w:t>
      </w:r>
    </w:p>
    <w:p w14:paraId="3A0860D9">
      <w:pPr>
        <w:pStyle w:val="16"/>
        <w:rPr>
          <w:rFonts w:hint="default"/>
          <w:lang w:val="en-US" w:eastAsia="zh-CN"/>
        </w:rPr>
      </w:pPr>
    </w:p>
    <w:p w14:paraId="36DE8360">
      <w:pPr>
        <w:pStyle w:val="16"/>
        <w:ind w:left="0" w:leftChars="0" w:firstLine="0" w:firstLineChars="0"/>
        <w:rPr>
          <w:position w:val="-83"/>
          <w:lang w:eastAsia="zh-CN"/>
        </w:rPr>
      </w:pPr>
      <w:r>
        <w:rPr>
          <w:position w:val="-83"/>
          <w:lang w:eastAsia="zh-CN"/>
        </w:rPr>
        <w:drawing>
          <wp:inline distT="0" distB="0" distL="0" distR="0">
            <wp:extent cx="5039995" cy="2525395"/>
            <wp:effectExtent l="0" t="0" r="8255" b="8255"/>
            <wp:docPr id="84" name="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 84"/>
                    <pic:cNvPicPr>
                      <a:picLocks noChangeAspect="1"/>
                    </pic:cNvPicPr>
                  </pic:nvPicPr>
                  <pic:blipFill>
                    <a:blip r:embed="rId17"/>
                    <a:stretch>
                      <a:fillRect/>
                    </a:stretch>
                  </pic:blipFill>
                  <pic:spPr>
                    <a:xfrm>
                      <a:off x="0" y="0"/>
                      <a:ext cx="5039995" cy="2525395"/>
                    </a:xfrm>
                    <a:prstGeom prst="rect">
                      <a:avLst/>
                    </a:prstGeom>
                  </pic:spPr>
                </pic:pic>
              </a:graphicData>
            </a:graphic>
          </wp:inline>
        </w:drawing>
      </w:r>
    </w:p>
    <w:p w14:paraId="7B7FD0FA">
      <w:pPr>
        <w:pStyle w:val="40"/>
        <w:bidi w:val="0"/>
        <w:rPr>
          <w:rFonts w:hint="default"/>
          <w:lang w:val="en-US" w:eastAsia="zh-CN"/>
        </w:rPr>
      </w:pPr>
      <w:bookmarkStart w:id="71" w:name="_Toc27449"/>
      <w:r>
        <w:rPr>
          <w:rFonts w:hint="eastAsia"/>
          <w:lang w:val="en-US" w:eastAsia="zh-CN"/>
        </w:rPr>
        <w:t>图10：瑞昌中专太极功夫兴趣社团</w:t>
      </w:r>
      <w:bookmarkEnd w:id="71"/>
    </w:p>
    <w:p w14:paraId="74B4AE89">
      <w:pPr>
        <w:pStyle w:val="36"/>
        <w:bidi w:val="0"/>
        <w:rPr>
          <w:rFonts w:hint="eastAsia"/>
          <w:lang w:val="en-US" w:eastAsia="zh-CN"/>
        </w:rPr>
      </w:pPr>
      <w:bookmarkStart w:id="72" w:name="_Toc28803"/>
      <w:r>
        <w:rPr>
          <w:rFonts w:hint="eastAsia"/>
          <w:lang w:val="en-US" w:eastAsia="zh-CN"/>
        </w:rPr>
        <w:t>4.4 传统文化</w:t>
      </w:r>
      <w:bookmarkEnd w:id="72"/>
    </w:p>
    <w:p w14:paraId="1F6E70B0">
      <w:pPr>
        <w:pStyle w:val="16"/>
        <w:rPr>
          <w:rFonts w:hint="default"/>
          <w:lang w:val="en-US" w:eastAsia="zh-CN"/>
        </w:rPr>
      </w:pPr>
      <w:r>
        <w:rPr>
          <w:rFonts w:hint="default"/>
          <w:lang w:val="en-US" w:eastAsia="zh-CN"/>
        </w:rPr>
        <w:t>以周敦颐先生为代表的莲文化是中华传统文化长河中璀璨的明珠。周敦颐为官清廉、高洁正直、淡泊名利、执政为民，不与世俗同流合污、不慕名利、不攀附权贵、高洁清廉</w:t>
      </w:r>
      <w:r>
        <w:rPr>
          <w:rFonts w:hint="eastAsia"/>
          <w:lang w:val="en-US" w:eastAsia="zh-CN"/>
        </w:rPr>
        <w:t>。九江科技中专</w:t>
      </w:r>
      <w:r>
        <w:rPr>
          <w:rFonts w:hint="default"/>
          <w:lang w:val="en-US" w:eastAsia="zh-CN"/>
        </w:rPr>
        <w:t>通过以莲文化命名校园道路、组织学生参加周敦颐纪念馆、举办莲文化经典诵读等形式，让师生体会高尚品格内涵，深化了对勤廉文化的认识。激起学生爱经典、传文化、爱家乡、爱祖国之心。</w:t>
      </w:r>
    </w:p>
    <w:p w14:paraId="67616834">
      <w:pPr>
        <w:pStyle w:val="16"/>
        <w:ind w:left="0" w:leftChars="0" w:firstLine="0" w:firstLineChars="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039995" cy="3291840"/>
            <wp:effectExtent l="0" t="0" r="8255" b="3810"/>
            <wp:docPr id="210" name="Picture 3"/>
            <wp:cNvGraphicFramePr/>
            <a:graphic xmlns:a="http://schemas.openxmlformats.org/drawingml/2006/main">
              <a:graphicData uri="http://schemas.openxmlformats.org/drawingml/2006/picture">
                <pic:pic xmlns:pic="http://schemas.openxmlformats.org/drawingml/2006/picture">
                  <pic:nvPicPr>
                    <pic:cNvPr id="210" name="Picture 3"/>
                    <pic:cNvPicPr/>
                  </pic:nvPicPr>
                  <pic:blipFill>
                    <a:blip r:embed="rId18" cstate="print"/>
                    <a:srcRect/>
                    <a:stretch>
                      <a:fillRect/>
                    </a:stretch>
                  </pic:blipFill>
                  <pic:spPr>
                    <a:xfrm>
                      <a:off x="0" y="0"/>
                      <a:ext cx="5039995" cy="3291840"/>
                    </a:xfrm>
                    <a:prstGeom prst="rect">
                      <a:avLst/>
                    </a:prstGeom>
                  </pic:spPr>
                </pic:pic>
              </a:graphicData>
            </a:graphic>
          </wp:inline>
        </w:drawing>
      </w:r>
    </w:p>
    <w:p w14:paraId="416CB472">
      <w:pPr>
        <w:pStyle w:val="40"/>
        <w:bidi w:val="0"/>
        <w:rPr>
          <w:rFonts w:hint="default"/>
          <w:lang w:val="en-US" w:eastAsia="zh-CN"/>
        </w:rPr>
      </w:pPr>
      <w:bookmarkStart w:id="73" w:name="_Toc9565"/>
      <w:r>
        <w:rPr>
          <w:rFonts w:hint="eastAsia"/>
          <w:lang w:val="en-US" w:eastAsia="zh-CN"/>
        </w:rPr>
        <w:t>图11：九江科技中专组织学生参观周敦颐纪念馆</w:t>
      </w:r>
      <w:bookmarkEnd w:id="73"/>
    </w:p>
    <w:p w14:paraId="257A1B6E">
      <w:pPr>
        <w:pStyle w:val="16"/>
        <w:rPr>
          <w:rFonts w:hint="default"/>
          <w:lang w:val="en-US" w:eastAsia="zh-CN"/>
        </w:rPr>
      </w:pPr>
    </w:p>
    <w:p w14:paraId="4857180A">
      <w:pPr>
        <w:pStyle w:val="37"/>
        <w:bidi w:val="0"/>
        <w:rPr>
          <w:rFonts w:hint="default"/>
          <w:lang w:val="en-US" w:eastAsia="zh-CN"/>
        </w:rPr>
      </w:pPr>
      <w:bookmarkStart w:id="74" w:name="_Toc3046"/>
      <w:r>
        <w:rPr>
          <w:rFonts w:hint="default"/>
          <w:lang w:val="en-US" w:eastAsia="zh-CN"/>
        </w:rPr>
        <w:t>案例</w:t>
      </w:r>
      <w:r>
        <w:rPr>
          <w:rFonts w:hint="eastAsia"/>
          <w:lang w:val="en-US" w:eastAsia="zh-CN"/>
        </w:rPr>
        <w:t>7：都昌中专组织</w:t>
      </w:r>
      <w:r>
        <w:rPr>
          <w:rFonts w:hint="default"/>
          <w:lang w:val="en-US" w:eastAsia="zh-CN"/>
        </w:rPr>
        <w:t>非遗进校园</w:t>
      </w:r>
      <w:bookmarkEnd w:id="74"/>
    </w:p>
    <w:p w14:paraId="5466059B">
      <w:pPr>
        <w:pStyle w:val="39"/>
        <w:bidi w:val="0"/>
        <w:rPr>
          <w:rFonts w:hint="default"/>
          <w:lang w:val="en-US" w:eastAsia="zh-CN"/>
        </w:rPr>
      </w:pPr>
      <w:r>
        <w:rPr>
          <w:rFonts w:hint="default"/>
          <w:lang w:val="en-US" w:eastAsia="zh-CN"/>
        </w:rPr>
        <w:t>为了丰富学生的校园生活，进一步弘扬传统文化，激发学生学习、保护非遗的兴趣和热情。5月24日，都昌中专邀请都昌县文化馆工作人员来到学生身边，浸润学生心田。“鄱阳湖上都昌县，灯火楼台一万家。水隔南山人不渡，东风吹老碧桃花”、刘肩三，又名刘汉才，1892年12月5日出生，江西省都昌县汪墩乡后垅村人在都昌中专的教室里，非遗传承人张云龙给学生现场演示都昌鼓书版《过都昌》和都昌先烈刘肩山的革命故事，并现场教授都昌鼓书的演唱和打鼓技巧。</w:t>
      </w:r>
    </w:p>
    <w:p w14:paraId="59899B18">
      <w:pPr>
        <w:pStyle w:val="16"/>
        <w:ind w:left="0" w:leftChars="0" w:firstLine="0" w:firstLineChars="0"/>
        <w:jc w:val="center"/>
        <w:rPr>
          <w:rFonts w:ascii="宋体" w:hAnsi="宋体"/>
        </w:rPr>
      </w:pPr>
      <w:r>
        <w:rPr>
          <w:rFonts w:ascii="宋体" w:hAnsi="宋体"/>
        </w:rPr>
        <w:drawing>
          <wp:inline distT="0" distB="0" distL="114300" distR="114300">
            <wp:extent cx="5039995" cy="2787015"/>
            <wp:effectExtent l="0" t="0" r="8255" b="1333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9"/>
                    <a:stretch>
                      <a:fillRect/>
                    </a:stretch>
                  </pic:blipFill>
                  <pic:spPr>
                    <a:xfrm>
                      <a:off x="0" y="0"/>
                      <a:ext cx="5039995" cy="2787015"/>
                    </a:xfrm>
                    <a:prstGeom prst="rect">
                      <a:avLst/>
                    </a:prstGeom>
                    <a:noFill/>
                    <a:ln>
                      <a:noFill/>
                    </a:ln>
                  </pic:spPr>
                </pic:pic>
              </a:graphicData>
            </a:graphic>
          </wp:inline>
        </w:drawing>
      </w:r>
    </w:p>
    <w:p w14:paraId="36657DC4">
      <w:pPr>
        <w:pStyle w:val="40"/>
        <w:bidi w:val="0"/>
        <w:rPr>
          <w:rFonts w:hint="default"/>
          <w:lang w:val="en-US" w:eastAsia="zh-CN"/>
        </w:rPr>
      </w:pPr>
      <w:bookmarkStart w:id="75" w:name="_Toc28559"/>
      <w:r>
        <w:rPr>
          <w:rFonts w:hint="eastAsia"/>
          <w:lang w:val="en-US" w:eastAsia="zh-CN"/>
        </w:rPr>
        <w:t>图12：非遗传承人向都昌中专学生展示都昌鼓书</w:t>
      </w:r>
      <w:bookmarkEnd w:id="75"/>
    </w:p>
    <w:p w14:paraId="70F0D78F">
      <w:pPr>
        <w:rPr>
          <w:rFonts w:hint="eastAsia"/>
          <w:lang w:val="en-US" w:eastAsia="zh-CN"/>
        </w:rPr>
      </w:pPr>
      <w:bookmarkStart w:id="76" w:name="_Toc9375"/>
      <w:r>
        <w:rPr>
          <w:rFonts w:hint="eastAsia"/>
          <w:lang w:val="en-US" w:eastAsia="zh-CN"/>
        </w:rPr>
        <w:br w:type="page"/>
      </w:r>
    </w:p>
    <w:p w14:paraId="670F6998">
      <w:pPr>
        <w:pStyle w:val="15"/>
        <w:numPr>
          <w:ilvl w:val="0"/>
          <w:numId w:val="0"/>
        </w:numPr>
        <w:bidi w:val="0"/>
        <w:ind w:left="0" w:leftChars="0" w:firstLine="640" w:firstLineChars="200"/>
        <w:rPr>
          <w:rFonts w:hint="eastAsia"/>
          <w:lang w:val="en-US" w:eastAsia="zh-CN"/>
        </w:rPr>
      </w:pPr>
      <w:bookmarkStart w:id="77" w:name="_Toc12815"/>
      <w:r>
        <w:rPr>
          <w:rFonts w:hint="eastAsia"/>
          <w:lang w:val="en-US" w:eastAsia="zh-CN"/>
        </w:rPr>
        <w:t>5 产教融合</w:t>
      </w:r>
      <w:bookmarkEnd w:id="76"/>
      <w:bookmarkEnd w:id="77"/>
    </w:p>
    <w:p w14:paraId="2EFE0F75">
      <w:pPr>
        <w:pStyle w:val="36"/>
        <w:bidi w:val="0"/>
        <w:rPr>
          <w:rFonts w:hint="default"/>
          <w:lang w:val="en-US" w:eastAsia="zh-CN"/>
        </w:rPr>
      </w:pPr>
      <w:bookmarkStart w:id="78" w:name="_Toc592"/>
      <w:r>
        <w:rPr>
          <w:rFonts w:hint="eastAsia"/>
          <w:lang w:val="en-US" w:eastAsia="zh-CN"/>
        </w:rPr>
        <w:t>5.1 政策引导</w:t>
      </w:r>
      <w:bookmarkEnd w:id="78"/>
    </w:p>
    <w:p w14:paraId="58657CFA">
      <w:pPr>
        <w:pStyle w:val="16"/>
        <w:rPr>
          <w:rFonts w:hint="eastAsia"/>
          <w:lang w:val="en-US" w:eastAsia="zh-CN"/>
        </w:rPr>
      </w:pPr>
      <w:r>
        <w:rPr>
          <w:rFonts w:hint="eastAsia"/>
          <w:lang w:val="en-US" w:eastAsia="zh-CN"/>
        </w:rPr>
        <w:t>2023年九江市政府印发了</w:t>
      </w:r>
      <w:r>
        <w:rPr>
          <w:rFonts w:hint="default"/>
          <w:lang w:val="en-US" w:eastAsia="zh-CN"/>
        </w:rPr>
        <w:t>《关于进一步完善政校企合作机制的意见》</w:t>
      </w:r>
      <w:r>
        <w:rPr>
          <w:rFonts w:hint="eastAsia"/>
          <w:lang w:val="en-US" w:eastAsia="zh-CN"/>
        </w:rPr>
        <w:t>，针对</w:t>
      </w:r>
      <w:r>
        <w:rPr>
          <w:rFonts w:hint="default"/>
          <w:lang w:val="en-US" w:eastAsia="zh-CN"/>
        </w:rPr>
        <w:t>职业院校在产教融合工作中呈现“合而不深”“校热企冷”等问题</w:t>
      </w:r>
      <w:r>
        <w:rPr>
          <w:rFonts w:hint="eastAsia"/>
          <w:lang w:val="en-US" w:eastAsia="zh-CN"/>
        </w:rPr>
        <w:t>进行了政策性指导。2023年11月，九江化工、先进制造2家市域产教联合体正式成立并举行揭牌仪式。</w:t>
      </w:r>
    </w:p>
    <w:p w14:paraId="77FE759D">
      <w:pPr>
        <w:pStyle w:val="16"/>
        <w:rPr>
          <w:rFonts w:hint="default"/>
          <w:lang w:val="en-US" w:eastAsia="zh-CN"/>
        </w:rPr>
      </w:pPr>
      <w:r>
        <w:rPr>
          <w:rFonts w:hint="eastAsia"/>
          <w:lang w:val="en-US" w:eastAsia="zh-CN"/>
        </w:rPr>
        <w:t>2023年九江市建成覆盖石化化工、电子信息、装备制造等多个重点产业，各级各类产业学院27个，其中10家被评为市级现代产业学院。第二批现代产业学院的建设，也正在积极筹备当中。</w:t>
      </w:r>
    </w:p>
    <w:p w14:paraId="2F4993F9">
      <w:pPr>
        <w:pStyle w:val="37"/>
        <w:bidi w:val="0"/>
        <w:rPr>
          <w:rFonts w:hint="eastAsia"/>
          <w:lang w:val="en-US" w:eastAsia="zh-CN"/>
        </w:rPr>
      </w:pPr>
      <w:bookmarkStart w:id="79" w:name="_Toc3578"/>
      <w:r>
        <w:rPr>
          <w:rFonts w:hint="eastAsia"/>
          <w:lang w:val="en-US" w:eastAsia="zh-CN"/>
        </w:rPr>
        <w:t>案例8：庐山西海艺校加强校企深度合作</w:t>
      </w:r>
      <w:bookmarkEnd w:id="79"/>
    </w:p>
    <w:p w14:paraId="211EA09A">
      <w:pPr>
        <w:pStyle w:val="39"/>
        <w:bidi w:val="0"/>
        <w:rPr>
          <w:rFonts w:hint="eastAsia"/>
          <w:lang w:val="en-US" w:eastAsia="zh-CN"/>
        </w:rPr>
      </w:pPr>
      <w:r>
        <w:rPr>
          <w:rFonts w:hint="eastAsia"/>
          <w:lang w:val="en-US" w:eastAsia="zh-CN"/>
        </w:rPr>
        <w:t>江西艺邦智能家居研究院举行揭牌仪式，武宁县委书记洪碧霞与艺邦集团董事局主席罗照球共同为江西艺邦智能家居研究院揭牌。江西艺邦智能家居研究院的成立，是艺邦集团与九江庐山西海艺术学校校企合作基础上的又一创举。发挥集团办学优势，整合资源，加快产学研融合，致力于智能家居领域专业人才联合培养和智能家居的开发、研究，助推武宁县智能家居产业的发展。</w:t>
      </w:r>
    </w:p>
    <w:p w14:paraId="5D2FD975">
      <w:pPr>
        <w:pStyle w:val="39"/>
        <w:bidi w:val="0"/>
        <w:rPr>
          <w:rFonts w:hint="eastAsia"/>
          <w:lang w:val="en-US" w:eastAsia="zh-CN"/>
        </w:rPr>
      </w:pPr>
      <w:r>
        <w:rPr>
          <w:rFonts w:hint="eastAsia"/>
          <w:lang w:val="en-US" w:eastAsia="zh-CN"/>
        </w:rPr>
        <w:t>2023年度，学校进一步与集团在智能家居软件领域开展合作，初步确定了智能家居软件“三维家”教学大纲，进一步探索课程设置与培养目标的适用性。</w:t>
      </w:r>
    </w:p>
    <w:p w14:paraId="491CA268">
      <w:pPr>
        <w:pStyle w:val="36"/>
        <w:bidi w:val="0"/>
        <w:rPr>
          <w:rFonts w:hint="eastAsia"/>
          <w:lang w:val="en-US" w:eastAsia="zh-CN"/>
        </w:rPr>
      </w:pPr>
      <w:bookmarkStart w:id="80" w:name="_Toc11280"/>
      <w:r>
        <w:rPr>
          <w:rFonts w:hint="eastAsia"/>
          <w:lang w:val="en-US" w:eastAsia="zh-CN"/>
        </w:rPr>
        <w:t>5.2 双元育人</w:t>
      </w:r>
      <w:bookmarkEnd w:id="80"/>
    </w:p>
    <w:p w14:paraId="592386EB">
      <w:pPr>
        <w:pStyle w:val="16"/>
        <w:rPr>
          <w:rFonts w:hint="default"/>
          <w:lang w:val="en-US" w:eastAsia="zh-CN"/>
        </w:rPr>
      </w:pPr>
      <w:r>
        <w:rPr>
          <w:rFonts w:hint="eastAsia"/>
          <w:lang w:val="en-US" w:eastAsia="zh-CN"/>
        </w:rPr>
        <w:t>各中职学校与企业正在</w:t>
      </w:r>
      <w:r>
        <w:rPr>
          <w:rFonts w:hint="default"/>
          <w:lang w:val="en-US" w:eastAsia="zh-CN"/>
        </w:rPr>
        <w:t>逐步形成“人才共有、过程共管、成果共享、责任共担”的合作办学机制，稳步实现企业得人才、职工学生得技能、职业院校得发展的多赢目标。校企双方共同参与课程设置、教学计划和开发新专业</w:t>
      </w:r>
      <w:r>
        <w:rPr>
          <w:rFonts w:hint="eastAsia"/>
          <w:lang w:val="en-US" w:eastAsia="zh-CN"/>
        </w:rPr>
        <w:t>，</w:t>
      </w:r>
      <w:r>
        <w:rPr>
          <w:rFonts w:hint="default"/>
          <w:lang w:val="en-US" w:eastAsia="zh-CN"/>
        </w:rPr>
        <w:t>共同构建技能型人才培养基地</w:t>
      </w:r>
      <w:r>
        <w:rPr>
          <w:rFonts w:hint="eastAsia"/>
          <w:lang w:val="en-US" w:eastAsia="zh-CN"/>
        </w:rPr>
        <w:t>，</w:t>
      </w:r>
      <w:r>
        <w:rPr>
          <w:rFonts w:hint="default"/>
          <w:lang w:val="en-US" w:eastAsia="zh-CN"/>
        </w:rPr>
        <w:t>共同实施</w:t>
      </w:r>
      <w:r>
        <w:rPr>
          <w:rFonts w:hint="eastAsia"/>
          <w:lang w:val="en-US" w:eastAsia="zh-CN"/>
        </w:rPr>
        <w:t>技能型人才</w:t>
      </w:r>
      <w:r>
        <w:rPr>
          <w:rFonts w:hint="default"/>
          <w:lang w:val="en-US" w:eastAsia="zh-CN"/>
        </w:rPr>
        <w:t>项目培训</w:t>
      </w:r>
      <w:r>
        <w:rPr>
          <w:rFonts w:hint="eastAsia"/>
          <w:lang w:val="en-US" w:eastAsia="zh-CN"/>
        </w:rPr>
        <w:t>，</w:t>
      </w:r>
      <w:r>
        <w:rPr>
          <w:rFonts w:hint="default"/>
          <w:lang w:val="en-US" w:eastAsia="zh-CN"/>
        </w:rPr>
        <w:t>共同打造优质师资队伍</w:t>
      </w:r>
      <w:r>
        <w:rPr>
          <w:rFonts w:hint="eastAsia"/>
          <w:lang w:val="en-US" w:eastAsia="zh-CN"/>
        </w:rPr>
        <w:t>，</w:t>
      </w:r>
      <w:r>
        <w:rPr>
          <w:rFonts w:hint="default"/>
          <w:lang w:val="en-US" w:eastAsia="zh-CN"/>
        </w:rPr>
        <w:t>共同搭建院校学生实习就业平台。通过</w:t>
      </w:r>
      <w:r>
        <w:rPr>
          <w:rFonts w:hint="eastAsia"/>
          <w:lang w:val="en-US" w:eastAsia="zh-CN"/>
        </w:rPr>
        <w:t>双元育人</w:t>
      </w:r>
      <w:r>
        <w:rPr>
          <w:rFonts w:hint="default"/>
          <w:lang w:val="en-US" w:eastAsia="zh-CN"/>
        </w:rPr>
        <w:t>，促使</w:t>
      </w:r>
      <w:r>
        <w:rPr>
          <w:rFonts w:hint="eastAsia"/>
          <w:lang w:val="en-US" w:eastAsia="zh-CN"/>
        </w:rPr>
        <w:t>中职学校</w:t>
      </w:r>
      <w:r>
        <w:rPr>
          <w:rFonts w:hint="default"/>
          <w:lang w:val="en-US" w:eastAsia="zh-CN"/>
        </w:rPr>
        <w:t>专业设置更加合理，课程构建更加科学，人才培养方案更加完善，校企合作更加深入。</w:t>
      </w:r>
    </w:p>
    <w:p w14:paraId="5DD338CB">
      <w:pPr>
        <w:pStyle w:val="37"/>
        <w:bidi w:val="0"/>
        <w:rPr>
          <w:rFonts w:hint="default"/>
          <w:lang w:val="en-US" w:eastAsia="zh-CN"/>
        </w:rPr>
      </w:pPr>
      <w:bookmarkStart w:id="81" w:name="_Toc26113"/>
      <w:r>
        <w:rPr>
          <w:rFonts w:hint="eastAsia"/>
          <w:lang w:val="en-US" w:eastAsia="zh-CN"/>
        </w:rPr>
        <w:t>案例9：修水中专培养模具技术人才，助力县域经济发展</w:t>
      </w:r>
      <w:bookmarkEnd w:id="81"/>
    </w:p>
    <w:p w14:paraId="0CA6F074">
      <w:pPr>
        <w:pStyle w:val="39"/>
        <w:bidi w:val="0"/>
        <w:rPr>
          <w:rFonts w:hint="eastAsia"/>
          <w:lang w:val="en-US" w:eastAsia="zh-CN"/>
        </w:rPr>
      </w:pPr>
      <w:r>
        <w:rPr>
          <w:rFonts w:hint="eastAsia"/>
          <w:lang w:val="en-US" w:eastAsia="zh-CN"/>
        </w:rPr>
        <w:t>修水中专围绕县模具产业的发展需求，根据学生的认知特点，与中泰科技一起制定了详细的模具技术人才培养计划，确保学生能够熟练掌握模具设计、制造、维修等方面的技能。为填补模具设计专业教师的缺乏，今年秋季，学校特意引进两名模具设计专业教师，并将2023级数控专业班按模具产业岗位需求开设专业课程，着重培养模具设计方面的专业技术人才，为模具产业园建设提供强力支持。专项工作领导小组多次牵头组织校企座谈会，加强沟通与交流，校企合作进一步推进。</w:t>
      </w:r>
    </w:p>
    <w:p w14:paraId="421BE38A">
      <w:pPr>
        <w:pStyle w:val="39"/>
        <w:bidi w:val="0"/>
        <w:rPr>
          <w:rFonts w:hint="eastAsia"/>
          <w:lang w:val="en-US" w:eastAsia="zh-CN"/>
        </w:rPr>
      </w:pPr>
      <w:r>
        <w:rPr>
          <w:rFonts w:hint="eastAsia"/>
          <w:lang w:val="en-US" w:eastAsia="zh-CN"/>
        </w:rPr>
        <w:t>目前修水中专与中泰科技达成了订单式培养合作意向，组建了两个“中泰班”，并组织召开了学生家长会，做了企业宣讲和就业前景介绍，解答了家长的疑问和顾虑。与此同时，学校与模具培训机构来普乐达成初步合作意向，企业培训基地建设也正在紧锣密鼓进行中。</w:t>
      </w:r>
    </w:p>
    <w:p w14:paraId="55D66A05">
      <w:pPr>
        <w:pStyle w:val="39"/>
        <w:bidi w:val="0"/>
        <w:rPr>
          <w:rFonts w:hint="eastAsia"/>
          <w:lang w:val="en-US" w:eastAsia="zh-CN"/>
        </w:rPr>
      </w:pPr>
    </w:p>
    <w:p w14:paraId="182AECA9">
      <w:pPr>
        <w:pStyle w:val="16"/>
        <w:ind w:left="0" w:leftChars="0" w:firstLine="0" w:firstLineChars="0"/>
        <w:rPr>
          <w:rFonts w:hint="eastAsia"/>
          <w:lang w:val="en-US" w:eastAsia="zh-CN"/>
        </w:rPr>
      </w:pPr>
      <w:r>
        <w:rPr>
          <w:rFonts w:hint="eastAsia" w:ascii="仿宋_GB2312" w:hAnsi="仿宋" w:eastAsia="仿宋_GB2312" w:cs="仿宋_GB2312"/>
          <w:sz w:val="32"/>
          <w:szCs w:val="32"/>
        </w:rPr>
        <w:drawing>
          <wp:inline distT="0" distB="0" distL="114300" distR="114300">
            <wp:extent cx="5039995" cy="3920490"/>
            <wp:effectExtent l="0" t="0" r="8255" b="3810"/>
            <wp:docPr id="53" name="图片 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9995" cy="3920490"/>
                    </a:xfrm>
                    <a:prstGeom prst="rect">
                      <a:avLst/>
                    </a:prstGeom>
                  </pic:spPr>
                </pic:pic>
              </a:graphicData>
            </a:graphic>
          </wp:inline>
        </w:drawing>
      </w:r>
    </w:p>
    <w:p w14:paraId="19024A44">
      <w:pPr>
        <w:pStyle w:val="40"/>
        <w:bidi w:val="0"/>
        <w:rPr>
          <w:rFonts w:hint="default"/>
          <w:lang w:val="en-US" w:eastAsia="zh-CN"/>
        </w:rPr>
      </w:pPr>
      <w:bookmarkStart w:id="82" w:name="_Toc31374"/>
      <w:r>
        <w:rPr>
          <w:rFonts w:hint="eastAsia"/>
          <w:lang w:val="en-US" w:eastAsia="zh-CN"/>
        </w:rPr>
        <w:t>图13：九江市卫生学校与武宁人民医院进行实习交流</w:t>
      </w:r>
      <w:bookmarkEnd w:id="82"/>
    </w:p>
    <w:p w14:paraId="166A21D7">
      <w:pPr>
        <w:pStyle w:val="16"/>
        <w:rPr>
          <w:rFonts w:hint="default"/>
          <w:lang w:val="en-US" w:eastAsia="zh-CN"/>
        </w:rPr>
      </w:pPr>
      <w:r>
        <w:rPr>
          <w:rFonts w:hint="eastAsia"/>
          <w:lang w:val="en-US" w:eastAsia="zh-CN"/>
        </w:rPr>
        <w:t>2023年，全市中职学校与企业共建开放型区域产教融合实践中心27个，聘请行业导师62人，年课时总量8358学时，支付行业导师课酬107.68万元。</w:t>
      </w:r>
    </w:p>
    <w:p w14:paraId="62E72E6F">
      <w:pPr>
        <w:pStyle w:val="36"/>
        <w:bidi w:val="0"/>
        <w:rPr>
          <w:rFonts w:hint="eastAsia"/>
          <w:lang w:val="en-US" w:eastAsia="zh-CN"/>
        </w:rPr>
      </w:pPr>
      <w:bookmarkStart w:id="83" w:name="_Toc5048"/>
      <w:r>
        <w:rPr>
          <w:rFonts w:hint="eastAsia"/>
          <w:lang w:val="en-US" w:eastAsia="zh-CN"/>
        </w:rPr>
        <w:t>5.3 1+X试点</w:t>
      </w:r>
      <w:bookmarkEnd w:id="83"/>
    </w:p>
    <w:p w14:paraId="78706B39">
      <w:pPr>
        <w:pStyle w:val="16"/>
        <w:rPr>
          <w:rFonts w:hint="default"/>
          <w:lang w:val="en-US" w:eastAsia="zh-CN"/>
        </w:rPr>
      </w:pPr>
      <w:r>
        <w:rPr>
          <w:rFonts w:hint="eastAsia"/>
          <w:lang w:val="en-US" w:eastAsia="zh-CN"/>
        </w:rPr>
        <w:t>各中职学校</w:t>
      </w:r>
      <w:r>
        <w:rPr>
          <w:rFonts w:hint="default"/>
          <w:lang w:val="en-US" w:eastAsia="zh-CN"/>
        </w:rPr>
        <w:t>根据专业特点和行业需求，</w:t>
      </w:r>
      <w:r>
        <w:rPr>
          <w:rFonts w:hint="eastAsia"/>
          <w:lang w:val="en-US" w:eastAsia="zh-CN"/>
        </w:rPr>
        <w:t>参与1+X试点工作。通过</w:t>
      </w:r>
      <w:r>
        <w:rPr>
          <w:rFonts w:hint="default"/>
          <w:lang w:val="en-US" w:eastAsia="zh-CN"/>
        </w:rPr>
        <w:t>组织学生参与培训和考核，</w:t>
      </w:r>
      <w:r>
        <w:rPr>
          <w:rFonts w:hint="eastAsia"/>
          <w:lang w:val="en-US" w:eastAsia="zh-CN"/>
        </w:rPr>
        <w:t>并</w:t>
      </w:r>
      <w:r>
        <w:rPr>
          <w:rFonts w:hint="default"/>
          <w:lang w:val="en-US" w:eastAsia="zh-CN"/>
        </w:rPr>
        <w:t>将证书培训内容融入日常教学中，使学生在学习专业知识的同时，也能获得相应的技能资格。</w:t>
      </w:r>
    </w:p>
    <w:p w14:paraId="116C9DA5">
      <w:pPr>
        <w:pStyle w:val="37"/>
        <w:bidi w:val="0"/>
        <w:rPr>
          <w:rFonts w:hint="default"/>
          <w:lang w:val="en-US" w:eastAsia="zh-CN"/>
        </w:rPr>
      </w:pPr>
      <w:bookmarkStart w:id="84" w:name="_Toc21910"/>
      <w:r>
        <w:rPr>
          <w:rFonts w:hint="eastAsia"/>
          <w:lang w:val="en-US" w:eastAsia="zh-CN"/>
        </w:rPr>
        <w:t>案例10：九江科技中专1+X职业技能等级证书制度试点</w:t>
      </w:r>
      <w:bookmarkEnd w:id="84"/>
    </w:p>
    <w:p w14:paraId="55856D1C">
      <w:pPr>
        <w:pStyle w:val="39"/>
        <w:bidi w:val="0"/>
        <w:rPr>
          <w:rFonts w:hint="default"/>
          <w:lang w:val="en-US" w:eastAsia="zh-CN"/>
        </w:rPr>
      </w:pPr>
      <w:r>
        <w:rPr>
          <w:rFonts w:hint="default"/>
          <w:lang w:val="en-US" w:eastAsia="zh-CN"/>
        </w:rPr>
        <w:t>汽车产业的发展可谓日新月异，而支撑产业可持续发展的关键，则是掌握新技术技能的员工，这就要求专业的教学必须符合产业发展的需求。</w:t>
      </w:r>
    </w:p>
    <w:p w14:paraId="232B1683">
      <w:pPr>
        <w:pStyle w:val="39"/>
        <w:bidi w:val="0"/>
        <w:rPr>
          <w:rFonts w:hint="default"/>
          <w:lang w:val="en-US" w:eastAsia="zh-CN"/>
        </w:rPr>
      </w:pPr>
      <w:r>
        <w:rPr>
          <w:rFonts w:hint="default"/>
          <w:lang w:val="en-US" w:eastAsia="zh-CN"/>
        </w:rPr>
        <w:t>2019年，学校汽车运用与维修专业和智能新能源汽车专业双双成为国家首批1+X职业技能等级证书制度试点专业，学校一次性投入470万元对专业实训室进行了高规格扩建。在2023年全国1+X考证工作中表现亮眼，汽车运用与维修职业技能等级证书</w:t>
      </w:r>
      <w:r>
        <w:rPr>
          <w:rFonts w:hint="eastAsia"/>
          <w:lang w:val="en-US" w:eastAsia="zh-CN"/>
        </w:rPr>
        <w:t>（</w:t>
      </w:r>
      <w:r>
        <w:rPr>
          <w:rFonts w:hint="default"/>
          <w:lang w:val="en-US" w:eastAsia="zh-CN"/>
        </w:rPr>
        <w:t>中级</w:t>
      </w:r>
      <w:r>
        <w:rPr>
          <w:rFonts w:hint="eastAsia"/>
          <w:lang w:val="en-US" w:eastAsia="zh-CN"/>
        </w:rPr>
        <w:t>）</w:t>
      </w:r>
      <w:r>
        <w:rPr>
          <w:rFonts w:hint="default"/>
          <w:lang w:val="en-US" w:eastAsia="zh-CN"/>
        </w:rPr>
        <w:t>32 人、智能网联汽车检测与运维职业技能等级证书</w:t>
      </w:r>
      <w:r>
        <w:rPr>
          <w:rFonts w:hint="eastAsia"/>
          <w:lang w:val="en-US" w:eastAsia="zh-CN"/>
        </w:rPr>
        <w:t>（</w:t>
      </w:r>
      <w:r>
        <w:rPr>
          <w:rFonts w:hint="default"/>
          <w:lang w:val="en-US" w:eastAsia="zh-CN"/>
        </w:rPr>
        <w:t>初级</w:t>
      </w:r>
      <w:r>
        <w:rPr>
          <w:rFonts w:hint="eastAsia"/>
          <w:lang w:val="en-US" w:eastAsia="zh-CN"/>
        </w:rPr>
        <w:t>）</w:t>
      </w:r>
      <w:r>
        <w:rPr>
          <w:rFonts w:hint="default"/>
          <w:lang w:val="en-US" w:eastAsia="zh-CN"/>
        </w:rPr>
        <w:t>30人、智能新能源汽车职业技能等级证书</w:t>
      </w:r>
      <w:r>
        <w:rPr>
          <w:rFonts w:hint="eastAsia"/>
          <w:lang w:val="en-US" w:eastAsia="zh-CN"/>
        </w:rPr>
        <w:t>（</w:t>
      </w:r>
      <w:r>
        <w:rPr>
          <w:rFonts w:hint="default"/>
          <w:lang w:val="en-US" w:eastAsia="zh-CN"/>
        </w:rPr>
        <w:t>初级</w:t>
      </w:r>
      <w:r>
        <w:rPr>
          <w:rFonts w:hint="eastAsia"/>
          <w:lang w:val="en-US" w:eastAsia="zh-CN"/>
        </w:rPr>
        <w:t>）</w:t>
      </w:r>
      <w:r>
        <w:rPr>
          <w:rFonts w:hint="default"/>
          <w:lang w:val="en-US" w:eastAsia="zh-CN"/>
        </w:rPr>
        <w:t>32人（汽车专业三门共94人推迟到下学期开学考试），通过率达99%以上</w:t>
      </w:r>
    </w:p>
    <w:p w14:paraId="0F98B071">
      <w:pPr>
        <w:pStyle w:val="16"/>
        <w:rPr>
          <w:rFonts w:hint="default"/>
          <w:lang w:val="en-US" w:eastAsia="zh-CN"/>
        </w:rPr>
      </w:pPr>
    </w:p>
    <w:p w14:paraId="1C6E3947">
      <w:pPr>
        <w:pStyle w:val="16"/>
        <w:rPr>
          <w:rFonts w:hint="default"/>
          <w:lang w:val="en-US" w:eastAsia="zh-CN"/>
        </w:rPr>
      </w:pPr>
      <w:r>
        <w:rPr>
          <w:rFonts w:hint="eastAsia"/>
          <w:lang w:val="en-US" w:eastAsia="zh-CN"/>
        </w:rPr>
        <w:t>2023年，全市中职学校共建有1+X考级站60个，在建10个，覆盖专业点51个，试点覆盖学生5419人。全年共有1511人次通过相关证书考试。</w:t>
      </w:r>
    </w:p>
    <w:p w14:paraId="4507D171">
      <w:pPr>
        <w:pStyle w:val="36"/>
        <w:bidi w:val="0"/>
        <w:rPr>
          <w:rFonts w:hint="eastAsia"/>
          <w:lang w:val="en-US" w:eastAsia="zh-CN"/>
        </w:rPr>
      </w:pPr>
      <w:bookmarkStart w:id="85" w:name="_Toc20662"/>
      <w:r>
        <w:rPr>
          <w:rFonts w:hint="eastAsia"/>
          <w:lang w:val="en-US" w:eastAsia="zh-CN"/>
        </w:rPr>
        <w:t>5.4 实习实训</w:t>
      </w:r>
      <w:bookmarkEnd w:id="85"/>
    </w:p>
    <w:p w14:paraId="689BD668">
      <w:pPr>
        <w:pStyle w:val="16"/>
        <w:rPr>
          <w:rFonts w:hint="default"/>
          <w:lang w:val="en-US" w:eastAsia="zh-CN"/>
        </w:rPr>
      </w:pPr>
      <w:r>
        <w:rPr>
          <w:rFonts w:hint="eastAsia"/>
          <w:lang w:val="en-US" w:eastAsia="zh-CN"/>
        </w:rPr>
        <w:t>各中职学校从深入贯彻落实教育部等八部委《职业学校学生实习管理规定》，尤其是对1个“严禁”、27个“不得”，坚决做到不容忍、不姑息。坚持在校学习5个学期、一个学期赴企业岗位实习的教育模式。通过工学结合、订单培养等多种形式，积极稳妥地安排实习生到企业参加岗位实习，取得显著成效。</w:t>
      </w:r>
    </w:p>
    <w:p w14:paraId="4B1001CA">
      <w:pPr>
        <w:pStyle w:val="16"/>
        <w:rPr>
          <w:rFonts w:hint="default"/>
          <w:lang w:val="en-US" w:eastAsia="zh-CN"/>
        </w:rPr>
      </w:pPr>
      <w:r>
        <w:rPr>
          <w:rFonts w:hint="default"/>
          <w:lang w:val="en-US" w:eastAsia="zh-CN"/>
        </w:rPr>
        <w:t>为更好地了解学生实习情况并提供服务，</w:t>
      </w:r>
      <w:r>
        <w:rPr>
          <w:rFonts w:hint="eastAsia"/>
          <w:lang w:val="en-US" w:eastAsia="zh-CN"/>
        </w:rPr>
        <w:t>各中职</w:t>
      </w:r>
      <w:r>
        <w:rPr>
          <w:rFonts w:hint="default"/>
          <w:lang w:val="en-US" w:eastAsia="zh-CN"/>
        </w:rPr>
        <w:t>学校建立了学生实习跟踪服务机制</w:t>
      </w:r>
      <w:r>
        <w:rPr>
          <w:rFonts w:hint="eastAsia"/>
          <w:lang w:val="en-US" w:eastAsia="zh-CN"/>
        </w:rPr>
        <w:t>，</w:t>
      </w:r>
      <w:r>
        <w:rPr>
          <w:rFonts w:hint="default"/>
          <w:lang w:val="en-US" w:eastAsia="zh-CN"/>
        </w:rPr>
        <w:t>为每个学生建立实习档案，记录学生的实习情况、表现和评估结果</w:t>
      </w:r>
      <w:r>
        <w:rPr>
          <w:rFonts w:hint="eastAsia"/>
          <w:lang w:val="en-US" w:eastAsia="zh-CN"/>
        </w:rPr>
        <w:t>，</w:t>
      </w:r>
      <w:r>
        <w:rPr>
          <w:rFonts w:hint="default"/>
          <w:lang w:val="en-US" w:eastAsia="zh-CN"/>
        </w:rPr>
        <w:t>定期回访企业和学生，了解学生的实习情况和生活状况，提供必要的帮助和支持</w:t>
      </w:r>
      <w:r>
        <w:rPr>
          <w:rFonts w:hint="eastAsia"/>
          <w:lang w:val="en-US" w:eastAsia="zh-CN"/>
        </w:rPr>
        <w:t>。</w:t>
      </w:r>
      <w:r>
        <w:rPr>
          <w:rFonts w:hint="default"/>
          <w:lang w:val="en-US" w:eastAsia="zh-CN"/>
        </w:rPr>
        <w:t>对于学生在实习中遇到的问题，及时与企业沟通协调，帮助解决问题</w:t>
      </w:r>
      <w:r>
        <w:rPr>
          <w:rFonts w:hint="eastAsia"/>
          <w:lang w:val="en-US" w:eastAsia="zh-CN"/>
        </w:rPr>
        <w:t>，</w:t>
      </w:r>
      <w:r>
        <w:rPr>
          <w:rFonts w:hint="default"/>
          <w:lang w:val="en-US" w:eastAsia="zh-CN"/>
        </w:rPr>
        <w:t>确保学生能够通过实习获得宝贵的实践经验和职业发展机会。</w:t>
      </w:r>
    </w:p>
    <w:p w14:paraId="030E1172">
      <w:pPr>
        <w:pStyle w:val="16"/>
        <w:rPr>
          <w:rFonts w:hint="eastAsia"/>
          <w:lang w:val="en-US" w:eastAsia="zh-CN"/>
        </w:rPr>
      </w:pPr>
    </w:p>
    <w:p w14:paraId="7673EB45">
      <w:pPr>
        <w:pStyle w:val="16"/>
        <w:ind w:left="0" w:leftChars="0" w:firstLine="0" w:firstLineChars="0"/>
        <w:jc w:val="center"/>
        <w:rPr>
          <w:rFonts w:hint="eastAsia" w:ascii="宋体" w:hAnsi="宋体" w:cs="Arial"/>
          <w:color w:val="000000"/>
          <w:sz w:val="21"/>
          <w:szCs w:val="21"/>
        </w:rPr>
      </w:pPr>
      <w:r>
        <w:rPr>
          <w:rFonts w:hint="eastAsia" w:ascii="宋体" w:hAnsi="宋体" w:cs="Arial"/>
          <w:color w:val="000000"/>
          <w:sz w:val="21"/>
          <w:szCs w:val="21"/>
        </w:rPr>
        <w:drawing>
          <wp:inline distT="0" distB="0" distL="114300" distR="114300">
            <wp:extent cx="5039995" cy="2834640"/>
            <wp:effectExtent l="0" t="0" r="8255" b="3810"/>
            <wp:docPr id="5"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3"/>
                    <pic:cNvPicPr>
                      <a:picLocks noChangeAspect="1"/>
                    </pic:cNvPicPr>
                  </pic:nvPicPr>
                  <pic:blipFill>
                    <a:blip r:embed="rId21"/>
                    <a:stretch>
                      <a:fillRect/>
                    </a:stretch>
                  </pic:blipFill>
                  <pic:spPr>
                    <a:xfrm>
                      <a:off x="0" y="0"/>
                      <a:ext cx="5039995" cy="2834640"/>
                    </a:xfrm>
                    <a:prstGeom prst="rect">
                      <a:avLst/>
                    </a:prstGeom>
                    <a:noFill/>
                    <a:ln>
                      <a:noFill/>
                    </a:ln>
                  </pic:spPr>
                </pic:pic>
              </a:graphicData>
            </a:graphic>
          </wp:inline>
        </w:drawing>
      </w:r>
    </w:p>
    <w:p w14:paraId="61BA4B7B">
      <w:pPr>
        <w:pStyle w:val="40"/>
        <w:bidi w:val="0"/>
        <w:rPr>
          <w:rFonts w:hint="eastAsia"/>
          <w:lang w:val="en-US" w:eastAsia="zh-CN"/>
        </w:rPr>
      </w:pPr>
      <w:bookmarkStart w:id="86" w:name="_Toc25216"/>
      <w:r>
        <w:rPr>
          <w:rFonts w:hint="eastAsia"/>
          <w:lang w:val="en-US" w:eastAsia="zh-CN"/>
        </w:rPr>
        <w:t>图14：都昌中专学生进行专业技能操作</w:t>
      </w:r>
      <w:bookmarkEnd w:id="86"/>
    </w:p>
    <w:p w14:paraId="4CE2E333">
      <w:pPr>
        <w:pStyle w:val="16"/>
        <w:ind w:left="0" w:leftChars="0" w:firstLine="0" w:firstLineChars="0"/>
        <w:jc w:val="center"/>
        <w:rPr>
          <w:position w:val="-83"/>
          <w:lang w:eastAsia="zh-CN"/>
        </w:rPr>
      </w:pPr>
      <w:r>
        <w:rPr>
          <w:position w:val="-83"/>
          <w:lang w:eastAsia="zh-CN"/>
        </w:rPr>
        <w:drawing>
          <wp:inline distT="0" distB="0" distL="0" distR="0">
            <wp:extent cx="5039995" cy="2543175"/>
            <wp:effectExtent l="0" t="0" r="8255" b="9525"/>
            <wp:docPr id="102" name="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 102"/>
                    <pic:cNvPicPr>
                      <a:picLocks noChangeAspect="1"/>
                    </pic:cNvPicPr>
                  </pic:nvPicPr>
                  <pic:blipFill>
                    <a:blip r:embed="rId22"/>
                    <a:stretch>
                      <a:fillRect/>
                    </a:stretch>
                  </pic:blipFill>
                  <pic:spPr>
                    <a:xfrm>
                      <a:off x="0" y="0"/>
                      <a:ext cx="5039995" cy="2543175"/>
                    </a:xfrm>
                    <a:prstGeom prst="rect">
                      <a:avLst/>
                    </a:prstGeom>
                  </pic:spPr>
                </pic:pic>
              </a:graphicData>
            </a:graphic>
          </wp:inline>
        </w:drawing>
      </w:r>
    </w:p>
    <w:p w14:paraId="3687AB57">
      <w:pPr>
        <w:pStyle w:val="40"/>
        <w:bidi w:val="0"/>
        <w:rPr>
          <w:rFonts w:hint="eastAsia"/>
          <w:lang w:val="en-US" w:eastAsia="zh-CN"/>
        </w:rPr>
      </w:pPr>
      <w:bookmarkStart w:id="87" w:name="_Toc32461"/>
      <w:r>
        <w:rPr>
          <w:rFonts w:hint="eastAsia"/>
          <w:lang w:val="en-US" w:eastAsia="zh-CN"/>
        </w:rPr>
        <w:t>图15：瑞昌中专幼保专业学生在幼儿园实习</w:t>
      </w:r>
      <w:bookmarkEnd w:id="87"/>
    </w:p>
    <w:p w14:paraId="3AB787C9">
      <w:pPr>
        <w:pStyle w:val="16"/>
        <w:rPr>
          <w:rFonts w:hint="eastAsia"/>
          <w:lang w:val="en-US" w:eastAsia="zh-CN"/>
        </w:rPr>
      </w:pPr>
      <w:r>
        <w:rPr>
          <w:rFonts w:hint="eastAsia"/>
          <w:lang w:val="en-US" w:eastAsia="zh-CN"/>
        </w:rPr>
        <w:t>2023年各中职学校在实习管理工作中共投入110.28万元专项经费，其中实习责任保险经费13.37万元。</w:t>
      </w:r>
    </w:p>
    <w:p w14:paraId="26B251BA">
      <w:pPr>
        <w:pStyle w:val="16"/>
        <w:rPr>
          <w:rFonts w:hint="default"/>
          <w:lang w:val="en-US" w:eastAsia="zh-CN"/>
        </w:rPr>
      </w:pPr>
      <w:r>
        <w:rPr>
          <w:rFonts w:hint="default"/>
          <w:lang w:val="en-US" w:eastAsia="zh-CN"/>
        </w:rPr>
        <w:t>2023年各中职学校合计校内工位数12.56万个，生均校内实践教学工位3.33个。</w:t>
      </w:r>
    </w:p>
    <w:p w14:paraId="5A29352A">
      <w:pPr>
        <w:rPr>
          <w:rFonts w:hint="default"/>
          <w:lang w:val="en-US" w:eastAsia="zh-CN"/>
        </w:rPr>
      </w:pPr>
      <w:r>
        <w:rPr>
          <w:rFonts w:hint="default"/>
          <w:lang w:val="en-US" w:eastAsia="zh-CN"/>
        </w:rPr>
        <w:br w:type="page"/>
      </w:r>
    </w:p>
    <w:p w14:paraId="3EDD51EE">
      <w:pPr>
        <w:pStyle w:val="15"/>
        <w:numPr>
          <w:ilvl w:val="0"/>
          <w:numId w:val="0"/>
        </w:numPr>
        <w:bidi w:val="0"/>
        <w:ind w:left="0" w:leftChars="0" w:firstLine="640" w:firstLineChars="200"/>
        <w:rPr>
          <w:rFonts w:hint="eastAsia"/>
          <w:lang w:val="en-US" w:eastAsia="zh-CN"/>
        </w:rPr>
      </w:pPr>
      <w:bookmarkStart w:id="88" w:name="_Toc14704"/>
      <w:bookmarkStart w:id="89" w:name="_Toc5580"/>
      <w:r>
        <w:rPr>
          <w:rFonts w:hint="eastAsia"/>
          <w:lang w:val="en-US" w:eastAsia="zh-CN"/>
        </w:rPr>
        <w:t>6 发展保障</w:t>
      </w:r>
      <w:bookmarkEnd w:id="88"/>
      <w:bookmarkEnd w:id="89"/>
    </w:p>
    <w:p w14:paraId="720937FD">
      <w:pPr>
        <w:pStyle w:val="36"/>
        <w:bidi w:val="0"/>
        <w:rPr>
          <w:rFonts w:hint="default"/>
          <w:lang w:val="en-US" w:eastAsia="zh-CN"/>
        </w:rPr>
      </w:pPr>
      <w:bookmarkStart w:id="90" w:name="_Toc28519"/>
      <w:bookmarkStart w:id="91" w:name="_Toc2699"/>
      <w:r>
        <w:rPr>
          <w:rFonts w:hint="eastAsia"/>
          <w:lang w:val="en-US" w:eastAsia="zh-CN"/>
        </w:rPr>
        <w:t>6</w:t>
      </w:r>
      <w:r>
        <w:rPr>
          <w:rFonts w:hint="default"/>
          <w:lang w:val="en-US" w:eastAsia="zh-CN"/>
        </w:rPr>
        <w:t>.1</w:t>
      </w:r>
      <w:r>
        <w:rPr>
          <w:rFonts w:hint="eastAsia"/>
          <w:lang w:val="en-US" w:eastAsia="zh-CN"/>
        </w:rPr>
        <w:t xml:space="preserve"> </w:t>
      </w:r>
      <w:r>
        <w:rPr>
          <w:rFonts w:hint="default"/>
          <w:lang w:val="en-US" w:eastAsia="zh-CN"/>
        </w:rPr>
        <w:t>党建引领</w:t>
      </w:r>
      <w:bookmarkEnd w:id="90"/>
      <w:bookmarkEnd w:id="91"/>
    </w:p>
    <w:p w14:paraId="13212BB4">
      <w:pPr>
        <w:pStyle w:val="16"/>
        <w:rPr>
          <w:rFonts w:hint="default"/>
          <w:lang w:val="en-US" w:eastAsia="zh-CN"/>
        </w:rPr>
      </w:pPr>
      <w:r>
        <w:rPr>
          <w:rFonts w:hint="eastAsia"/>
          <w:lang w:val="en-US" w:eastAsia="zh-CN"/>
        </w:rPr>
        <w:t>各中职学校</w:t>
      </w:r>
      <w:r>
        <w:rPr>
          <w:rFonts w:hint="default"/>
          <w:lang w:val="en-US" w:eastAsia="zh-CN"/>
        </w:rPr>
        <w:t>以习近平新时代中国特色社会主义思想为指引，牢牢把握新时代党的建设总要求，以“大党建”思维，统领学校教育教学全过程</w:t>
      </w:r>
      <w:r>
        <w:rPr>
          <w:rFonts w:hint="eastAsia"/>
          <w:lang w:val="en-US" w:eastAsia="zh-CN"/>
        </w:rPr>
        <w:t>，</w:t>
      </w:r>
      <w:r>
        <w:rPr>
          <w:rFonts w:hint="default"/>
          <w:lang w:val="en-US" w:eastAsia="zh-CN"/>
        </w:rPr>
        <w:t>聚焦“学思想、强党性、重实践、建新功”目标要求</w:t>
      </w:r>
      <w:r>
        <w:rPr>
          <w:rFonts w:hint="eastAsia"/>
          <w:lang w:val="en-US" w:eastAsia="zh-CN"/>
        </w:rPr>
        <w:t>，</w:t>
      </w:r>
      <w:r>
        <w:rPr>
          <w:rFonts w:hint="default"/>
          <w:lang w:val="en-US" w:eastAsia="zh-CN"/>
        </w:rPr>
        <w:t>把学习习近平新时代中国特色社会主义思想转化为坚定理想、锤炼党性、指导实践、推动工作的强大力量，</w:t>
      </w:r>
      <w:r>
        <w:rPr>
          <w:rFonts w:hint="eastAsia"/>
          <w:lang w:val="en-US" w:eastAsia="zh-CN"/>
        </w:rPr>
        <w:t>深入开展</w:t>
      </w:r>
      <w:r>
        <w:rPr>
          <w:rFonts w:hint="default"/>
          <w:lang w:val="en-US" w:eastAsia="zh-CN"/>
        </w:rPr>
        <w:t>学习贯彻习近平新时代中国特色社会主义思想主题教育。</w:t>
      </w:r>
    </w:p>
    <w:p w14:paraId="09C0DDEF">
      <w:pPr>
        <w:pStyle w:val="37"/>
        <w:bidi w:val="0"/>
        <w:ind w:left="0" w:leftChars="0" w:firstLine="0" w:firstLineChars="0"/>
        <w:outlineLvl w:val="0"/>
        <w:rPr>
          <w:rFonts w:hint="default"/>
          <w:lang w:val="en-US" w:eastAsia="zh-CN"/>
        </w:rPr>
      </w:pPr>
      <w:bookmarkStart w:id="92" w:name="_Toc10376"/>
      <w:r>
        <w:rPr>
          <w:rFonts w:hint="default"/>
          <w:lang w:val="en-US" w:eastAsia="zh-CN"/>
        </w:rPr>
        <w:t>案例</w:t>
      </w:r>
      <w:r>
        <w:rPr>
          <w:rFonts w:hint="eastAsia"/>
          <w:lang w:val="en-US" w:eastAsia="zh-CN"/>
        </w:rPr>
        <w:t>11</w:t>
      </w:r>
      <w:r>
        <w:rPr>
          <w:rFonts w:hint="default"/>
          <w:lang w:val="en-US" w:eastAsia="zh-CN"/>
        </w:rPr>
        <w:t>：九江市理工职业技术学校</w:t>
      </w:r>
      <w:r>
        <w:rPr>
          <w:rFonts w:hint="eastAsia"/>
          <w:lang w:val="en-US" w:eastAsia="zh-CN"/>
        </w:rPr>
        <w:t>开展</w:t>
      </w:r>
      <w:r>
        <w:rPr>
          <w:rFonts w:hint="default"/>
          <w:lang w:val="en-US" w:eastAsia="zh-CN"/>
        </w:rPr>
        <w:t>主题教育活动</w:t>
      </w:r>
      <w:bookmarkEnd w:id="92"/>
    </w:p>
    <w:p w14:paraId="1B8A66DA">
      <w:pPr>
        <w:pStyle w:val="39"/>
        <w:bidi w:val="0"/>
        <w:rPr>
          <w:rFonts w:hint="default"/>
          <w:lang w:val="en-US" w:eastAsia="zh-CN"/>
        </w:rPr>
      </w:pPr>
      <w:r>
        <w:rPr>
          <w:rFonts w:hint="default"/>
          <w:lang w:val="en-US" w:eastAsia="zh-CN"/>
        </w:rPr>
        <w:t>为进一步丰富学校学习贯彻习近平新时代中国特色社会主义思想主题教育形式，充分利用红色资源教育引导党员领导干部从党史中汲取奋进新时代的磅礴力量，切实推动学校主题教育走深走实，学校党支部书记率全体党员前往德安革命历史陈列馆开展“弘扬革命精神 传承红色基因 凝聚奋进力量”主题党日活动，深切缅怀革命先烈、感悟红色精神、汲取奋进力量。走进革命历史陈列馆，大家通过参观“迎来曙光、武装暴动、苏区斗争、德安解放”等展厅，加深了对德安革命历史的认识。一张张记载历史的照片、一幕幕感人至深的场景、一个个催人泪下的故事，九理全体党员认真聆听、重温历史，深刻感悟老一辈革命家舍己为国的奉献精神和视死如归的革命精神。本次党日活动是一次深刻的思想洗礼。大家纷纷表示，在今后的工作中，一定要学习革命先辈艰苦奋斗的作风，赓续红色血脉，传承红色基因，坚守为党育人、为国育才，团结一心，以实际行动奋力推进九理教育事业高质量发展。</w:t>
      </w:r>
    </w:p>
    <w:p w14:paraId="58949761">
      <w:pPr>
        <w:pStyle w:val="39"/>
        <w:bidi w:val="0"/>
        <w:rPr>
          <w:rFonts w:hint="default"/>
          <w:lang w:val="en-US" w:eastAsia="zh-CN"/>
        </w:rPr>
      </w:pPr>
    </w:p>
    <w:p w14:paraId="12BB9351">
      <w:pPr>
        <w:pStyle w:val="16"/>
        <w:rPr>
          <w:rFonts w:hint="eastAsia"/>
          <w:lang w:val="en-US" w:eastAsia="zh-CN"/>
        </w:rPr>
      </w:pPr>
      <w:r>
        <w:rPr>
          <w:rFonts w:hint="eastAsia"/>
          <w:lang w:val="en-US" w:eastAsia="zh-CN"/>
        </w:rPr>
        <w:t>各中职学校坚持党建引领学生发展，通过确立党建促团建的工作思路，牢牢把握立德树人根本任务，充分发挥共青团育人优势，认真组织、扎实推进，广大党员干部在党建促团建示范引领活动中，起到了良好的带头作用。</w:t>
      </w:r>
    </w:p>
    <w:p w14:paraId="4C075993">
      <w:pPr>
        <w:pStyle w:val="16"/>
        <w:ind w:left="0" w:leftChars="0" w:firstLine="0" w:firstLineChars="0"/>
        <w:jc w:val="center"/>
        <w:rPr>
          <w:rFonts w:hint="eastAsia"/>
          <w:lang w:val="en-US" w:eastAsia="zh-CN"/>
        </w:rPr>
      </w:pPr>
      <w:r>
        <w:rPr>
          <w:rFonts w:hint="eastAsia"/>
          <w:lang w:val="en-US" w:eastAsia="zh-CN"/>
        </w:rPr>
        <w:drawing>
          <wp:inline distT="0" distB="0" distL="114300" distR="114300">
            <wp:extent cx="5039995" cy="3538220"/>
            <wp:effectExtent l="0" t="0" r="8255" b="5080"/>
            <wp:docPr id="20" name="图片 4" descr="f41d98da49fad943d2015fac6454d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f41d98da49fad943d2015fac6454d52"/>
                    <pic:cNvPicPr>
                      <a:picLocks noChangeAspect="1"/>
                    </pic:cNvPicPr>
                  </pic:nvPicPr>
                  <pic:blipFill>
                    <a:blip r:embed="rId23"/>
                    <a:srcRect b="16591"/>
                    <a:stretch>
                      <a:fillRect/>
                    </a:stretch>
                  </pic:blipFill>
                  <pic:spPr>
                    <a:xfrm>
                      <a:off x="0" y="0"/>
                      <a:ext cx="5039995" cy="3538220"/>
                    </a:xfrm>
                    <a:prstGeom prst="rect">
                      <a:avLst/>
                    </a:prstGeom>
                    <a:noFill/>
                    <a:ln>
                      <a:noFill/>
                    </a:ln>
                  </pic:spPr>
                </pic:pic>
              </a:graphicData>
            </a:graphic>
          </wp:inline>
        </w:drawing>
      </w:r>
    </w:p>
    <w:p w14:paraId="245ED6E2">
      <w:pPr>
        <w:pStyle w:val="40"/>
        <w:bidi w:val="0"/>
        <w:rPr>
          <w:rFonts w:hint="eastAsia"/>
          <w:lang w:val="en-US" w:eastAsia="zh-CN"/>
        </w:rPr>
      </w:pPr>
      <w:bookmarkStart w:id="93" w:name="_Toc8363"/>
      <w:r>
        <w:rPr>
          <w:rFonts w:hint="eastAsia"/>
          <w:lang w:val="en-US" w:eastAsia="zh-CN"/>
        </w:rPr>
        <w:t>图16：江西九江科技中等专业学校组织师生到部队送演</w:t>
      </w:r>
      <w:bookmarkEnd w:id="93"/>
    </w:p>
    <w:p w14:paraId="69165EAE">
      <w:pPr>
        <w:pStyle w:val="36"/>
        <w:bidi w:val="0"/>
        <w:rPr>
          <w:rFonts w:hint="eastAsia"/>
          <w:lang w:val="en-US" w:eastAsia="zh-CN"/>
        </w:rPr>
      </w:pPr>
      <w:bookmarkStart w:id="94" w:name="_Toc30656"/>
      <w:r>
        <w:rPr>
          <w:rFonts w:hint="eastAsia"/>
          <w:lang w:val="en-US" w:eastAsia="zh-CN"/>
        </w:rPr>
        <w:t>6.2 政策支持</w:t>
      </w:r>
      <w:bookmarkEnd w:id="94"/>
    </w:p>
    <w:p w14:paraId="7D138E4A">
      <w:pPr>
        <w:pStyle w:val="16"/>
        <w:bidi w:val="0"/>
        <w:rPr>
          <w:rFonts w:hint="eastAsia"/>
          <w:lang w:val="en-US" w:eastAsia="zh-CN"/>
        </w:rPr>
      </w:pPr>
      <w:r>
        <w:rPr>
          <w:rFonts w:hint="eastAsia"/>
          <w:lang w:val="en-US" w:eastAsia="zh-CN"/>
        </w:rPr>
        <w:t>近年来，国家对职业教育给予了全方位的政策支持。《教育部 江西省人民政府关于整省推进 职业教育综合改革提质创优的意见》中提出，要逐步提高职业院校生均拨款标准，新增财政性教育经费向职业教育倾斜。2023年，江西省教育厅等五部门印发了《江西省职业学校办学条件达标工作实施方案》。省委、省政府印发了《江西省深化职业教育技工教育改革服务产业高质量发展的若干措施》。</w:t>
      </w:r>
    </w:p>
    <w:p w14:paraId="0A0E25CE">
      <w:pPr>
        <w:pStyle w:val="16"/>
        <w:bidi w:val="0"/>
        <w:rPr>
          <w:rFonts w:hint="default"/>
          <w:color w:val="FF0000"/>
          <w:lang w:val="en-US" w:eastAsia="zh-CN"/>
        </w:rPr>
      </w:pPr>
      <w:r>
        <w:rPr>
          <w:rFonts w:hint="eastAsia"/>
          <w:lang w:val="en-US" w:eastAsia="zh-CN"/>
        </w:rPr>
        <w:t>九江市人民政府印发了《九江市人民政府关于印发职业教育综合改革提质创优实施方案的通知》《九江市中等职业学校建设规划（2021-2025）》，九江市教育局与财政局联合印发了《九江市职业教育发展专项资金管理办法（试行）》，九江市教育局等五部门印发了《九江市职业学校办学条件达标工作实施方案》都为本市职业教育发展提供了强大的政策支持。</w:t>
      </w:r>
    </w:p>
    <w:p w14:paraId="450CD72E">
      <w:pPr>
        <w:pStyle w:val="36"/>
        <w:bidi w:val="0"/>
        <w:rPr>
          <w:rFonts w:hint="default"/>
          <w:lang w:val="en-US" w:eastAsia="zh-CN"/>
        </w:rPr>
      </w:pPr>
      <w:bookmarkStart w:id="95" w:name="_Toc18295"/>
      <w:r>
        <w:rPr>
          <w:rFonts w:hint="eastAsia"/>
          <w:lang w:val="en-US" w:eastAsia="zh-CN"/>
        </w:rPr>
        <w:t>6.3 经费投入</w:t>
      </w:r>
      <w:bookmarkEnd w:id="95"/>
    </w:p>
    <w:p w14:paraId="3C2F76A5">
      <w:pPr>
        <w:pStyle w:val="16"/>
        <w:rPr>
          <w:rFonts w:hint="default"/>
          <w:lang w:val="en-US" w:eastAsia="zh-CN"/>
        </w:rPr>
      </w:pPr>
      <w:r>
        <w:rPr>
          <w:rFonts w:hint="default"/>
          <w:lang w:val="en-US" w:eastAsia="zh-CN"/>
        </w:rPr>
        <w:t>202</w:t>
      </w:r>
      <w:r>
        <w:rPr>
          <w:rFonts w:hint="eastAsia"/>
          <w:lang w:val="en-US" w:eastAsia="zh-CN"/>
        </w:rPr>
        <w:t>3</w:t>
      </w:r>
      <w:r>
        <w:rPr>
          <w:rFonts w:hint="default"/>
          <w:lang w:val="en-US" w:eastAsia="zh-CN"/>
        </w:rPr>
        <w:t>年全市中职学校共获财政拨款</w:t>
      </w:r>
      <w:r>
        <w:rPr>
          <w:rFonts w:hint="eastAsia"/>
          <w:lang w:val="en-US" w:eastAsia="zh-CN"/>
        </w:rPr>
        <w:t>19842.17</w:t>
      </w:r>
      <w:r>
        <w:rPr>
          <w:rFonts w:hint="default"/>
          <w:lang w:val="en-US" w:eastAsia="zh-CN"/>
        </w:rPr>
        <w:t>万元，接受企业捐赠设备总值</w:t>
      </w:r>
      <w:r>
        <w:rPr>
          <w:rFonts w:hint="eastAsia"/>
          <w:lang w:val="en-US" w:eastAsia="zh-CN"/>
        </w:rPr>
        <w:t>1390.19</w:t>
      </w:r>
      <w:r>
        <w:rPr>
          <w:rFonts w:hint="default"/>
          <w:lang w:val="en-US" w:eastAsia="zh-CN"/>
        </w:rPr>
        <w:t>万元。学生资助方面，共免学费</w:t>
      </w:r>
      <w:r>
        <w:rPr>
          <w:rFonts w:hint="eastAsia"/>
          <w:lang w:val="en-US" w:eastAsia="zh-CN"/>
        </w:rPr>
        <w:t>7508.51</w:t>
      </w:r>
      <w:r>
        <w:rPr>
          <w:rFonts w:hint="default"/>
          <w:lang w:val="en-US" w:eastAsia="zh-CN"/>
        </w:rPr>
        <w:t>万元，为困难学生申请国家助学金</w:t>
      </w:r>
      <w:r>
        <w:rPr>
          <w:rFonts w:hint="eastAsia"/>
          <w:lang w:val="en-US" w:eastAsia="zh-CN"/>
        </w:rPr>
        <w:t>948.79</w:t>
      </w:r>
      <w:r>
        <w:rPr>
          <w:rFonts w:hint="default"/>
          <w:lang w:val="en-US" w:eastAsia="zh-CN"/>
        </w:rPr>
        <w:t>万元，发放社会助学金</w:t>
      </w:r>
      <w:r>
        <w:rPr>
          <w:rFonts w:hint="eastAsia"/>
          <w:lang w:val="en-US" w:eastAsia="zh-CN"/>
        </w:rPr>
        <w:t>7.78</w:t>
      </w:r>
      <w:r>
        <w:rPr>
          <w:rFonts w:hint="default"/>
          <w:lang w:val="en-US" w:eastAsia="zh-CN"/>
        </w:rPr>
        <w:t>万元、地方政府助学金</w:t>
      </w:r>
      <w:r>
        <w:rPr>
          <w:rFonts w:hint="eastAsia"/>
          <w:lang w:val="en-US" w:eastAsia="zh-CN"/>
        </w:rPr>
        <w:t>50.2</w:t>
      </w:r>
      <w:r>
        <w:rPr>
          <w:rFonts w:hint="default"/>
          <w:lang w:val="en-US" w:eastAsia="zh-CN"/>
        </w:rPr>
        <w:t>万元、学校助学金</w:t>
      </w:r>
      <w:r>
        <w:rPr>
          <w:rFonts w:hint="eastAsia"/>
          <w:lang w:val="en-US" w:eastAsia="zh-CN"/>
        </w:rPr>
        <w:t>21.19</w:t>
      </w:r>
      <w:r>
        <w:rPr>
          <w:rFonts w:hint="default"/>
          <w:lang w:val="en-US" w:eastAsia="zh-CN"/>
        </w:rPr>
        <w:t>万元。</w:t>
      </w:r>
    </w:p>
    <w:p w14:paraId="2D5C007F">
      <w:pPr>
        <w:rPr>
          <w:rFonts w:hint="default"/>
          <w:lang w:val="en-US" w:eastAsia="zh-CN"/>
        </w:rPr>
      </w:pPr>
      <w:r>
        <w:rPr>
          <w:rFonts w:hint="default"/>
          <w:lang w:val="en-US" w:eastAsia="zh-CN"/>
        </w:rPr>
        <w:br w:type="page"/>
      </w:r>
    </w:p>
    <w:p w14:paraId="0B7FBCCC">
      <w:pPr>
        <w:pStyle w:val="15"/>
        <w:numPr>
          <w:ilvl w:val="0"/>
          <w:numId w:val="0"/>
        </w:numPr>
        <w:bidi w:val="0"/>
        <w:ind w:left="0" w:leftChars="0" w:firstLine="640" w:firstLineChars="200"/>
        <w:rPr>
          <w:rFonts w:hint="eastAsia"/>
          <w:lang w:val="en-US" w:eastAsia="zh-CN"/>
        </w:rPr>
      </w:pPr>
      <w:bookmarkStart w:id="96" w:name="_Toc10708"/>
      <w:bookmarkStart w:id="97" w:name="_Toc25914"/>
      <w:r>
        <w:rPr>
          <w:rFonts w:hint="eastAsia"/>
          <w:lang w:val="en-US" w:eastAsia="zh-CN"/>
        </w:rPr>
        <w:t>7 面临挑战</w:t>
      </w:r>
      <w:bookmarkEnd w:id="96"/>
      <w:bookmarkEnd w:id="97"/>
    </w:p>
    <w:p w14:paraId="11BC1586">
      <w:pPr>
        <w:pStyle w:val="36"/>
        <w:bidi w:val="0"/>
        <w:rPr>
          <w:rFonts w:hint="eastAsia"/>
          <w:lang w:val="en-US" w:eastAsia="zh-CN"/>
        </w:rPr>
      </w:pPr>
      <w:bookmarkStart w:id="98" w:name="_Toc11370"/>
      <w:r>
        <w:rPr>
          <w:rFonts w:hint="eastAsia"/>
          <w:lang w:val="en-US" w:eastAsia="zh-CN"/>
        </w:rPr>
        <w:t>7.1 个别政策落地难</w:t>
      </w:r>
      <w:bookmarkEnd w:id="98"/>
    </w:p>
    <w:p w14:paraId="1F0CB3E0">
      <w:pPr>
        <w:pStyle w:val="16"/>
        <w:rPr>
          <w:rFonts w:hint="default"/>
          <w:lang w:val="en-US" w:eastAsia="zh-CN"/>
        </w:rPr>
      </w:pPr>
      <w:r>
        <w:rPr>
          <w:rFonts w:hint="default"/>
          <w:lang w:val="en-US" w:eastAsia="zh-CN"/>
        </w:rPr>
        <w:t>例如</w:t>
      </w:r>
      <w:r>
        <w:rPr>
          <w:rFonts w:hint="eastAsia"/>
          <w:lang w:val="en-US" w:eastAsia="zh-CN"/>
        </w:rPr>
        <w:t>相关政策</w:t>
      </w:r>
      <w:r>
        <w:rPr>
          <w:rFonts w:hint="default"/>
          <w:lang w:val="en-US" w:eastAsia="zh-CN"/>
        </w:rPr>
        <w:t>明确要求的“建立健全九江市接收学生实习实训成本补偿机制。”“尽快出台校企合作负面清单。”“提高中等职业学校教师地位，执行职业学校教师享受义务教育阶段教师同等待遇的政策。”“各县（市、区）设立每年不少于200万元县级职业教育发展专项资金”等工作任务本应最迟于2022年完成，但由于种种原因，均未或仅部分完成。</w:t>
      </w:r>
    </w:p>
    <w:p w14:paraId="32BE5AE5">
      <w:pPr>
        <w:pStyle w:val="36"/>
        <w:bidi w:val="0"/>
        <w:rPr>
          <w:rFonts w:hint="eastAsia"/>
          <w:lang w:val="en-US" w:eastAsia="zh-CN"/>
        </w:rPr>
      </w:pPr>
      <w:bookmarkStart w:id="99" w:name="_Toc24546"/>
      <w:r>
        <w:rPr>
          <w:rFonts w:hint="eastAsia"/>
          <w:lang w:val="en-US" w:eastAsia="zh-CN"/>
        </w:rPr>
        <w:t>7.2 教师队伍缺编缺员</w:t>
      </w:r>
      <w:bookmarkEnd w:id="99"/>
    </w:p>
    <w:p w14:paraId="5372DE2C">
      <w:pPr>
        <w:pStyle w:val="16"/>
        <w:rPr>
          <w:rFonts w:hint="default"/>
          <w:lang w:val="en-US" w:eastAsia="zh-CN"/>
        </w:rPr>
      </w:pPr>
      <w:r>
        <w:rPr>
          <w:rFonts w:hint="eastAsia"/>
          <w:lang w:val="en-US" w:eastAsia="zh-CN"/>
        </w:rPr>
        <w:t>一方面，</w:t>
      </w:r>
      <w:r>
        <w:rPr>
          <w:rFonts w:hint="default"/>
          <w:lang w:val="en-US" w:eastAsia="zh-CN"/>
        </w:rPr>
        <w:t>由于近年我市职业教育发展迅速，</w:t>
      </w:r>
      <w:r>
        <w:rPr>
          <w:rFonts w:hint="eastAsia"/>
          <w:lang w:val="en-US" w:eastAsia="zh-CN"/>
        </w:rPr>
        <w:t>按照</w:t>
      </w:r>
      <w:r>
        <w:rPr>
          <w:rFonts w:hint="default"/>
          <w:lang w:val="en-US" w:eastAsia="zh-CN"/>
        </w:rPr>
        <w:t>教育部印发的《中等职业学校设置标准》（教职成〔2010〕12号）以及教育部</w:t>
      </w:r>
      <w:r>
        <w:rPr>
          <w:rFonts w:hint="eastAsia"/>
          <w:lang w:val="en-US" w:eastAsia="zh-CN"/>
        </w:rPr>
        <w:t>等5部委</w:t>
      </w:r>
      <w:r>
        <w:rPr>
          <w:rFonts w:hint="default"/>
          <w:lang w:val="en-US" w:eastAsia="zh-CN"/>
        </w:rPr>
        <w:t>印发</w:t>
      </w:r>
      <w:r>
        <w:rPr>
          <w:rFonts w:hint="eastAsia"/>
          <w:lang w:val="en-US" w:eastAsia="zh-CN"/>
        </w:rPr>
        <w:t>的</w:t>
      </w:r>
      <w:r>
        <w:rPr>
          <w:rFonts w:hint="default"/>
          <w:lang w:val="en-US" w:eastAsia="zh-CN"/>
        </w:rPr>
        <w:t>《职业学校办学条件达标工程实施方案》（教职成〔2022〕5号）等文件</w:t>
      </w:r>
      <w:r>
        <w:rPr>
          <w:rFonts w:hint="eastAsia"/>
          <w:lang w:val="en-US" w:eastAsia="zh-CN"/>
        </w:rPr>
        <w:t>要求，</w:t>
      </w:r>
      <w:r>
        <w:rPr>
          <w:rFonts w:hint="default"/>
          <w:lang w:val="en-US" w:eastAsia="zh-CN"/>
        </w:rPr>
        <w:t>按照国家1:20师生比的要求</w:t>
      </w:r>
      <w:r>
        <w:rPr>
          <w:rFonts w:hint="eastAsia"/>
          <w:lang w:val="en-US" w:eastAsia="zh-CN"/>
        </w:rPr>
        <w:t>较难完成。另一方面，由于产业升级，专业教师素质提升、淘汰专业教师的转型、新兴专业教师引入等工作都面临较大困难。</w:t>
      </w:r>
    </w:p>
    <w:p w14:paraId="0417FCBD">
      <w:pPr>
        <w:pStyle w:val="36"/>
        <w:bidi w:val="0"/>
        <w:rPr>
          <w:rFonts w:hint="eastAsia"/>
          <w:lang w:val="en-US" w:eastAsia="zh-CN"/>
        </w:rPr>
      </w:pPr>
      <w:bookmarkStart w:id="100" w:name="_Toc11023"/>
      <w:r>
        <w:rPr>
          <w:rFonts w:hint="eastAsia"/>
          <w:lang w:val="en-US" w:eastAsia="zh-CN"/>
        </w:rPr>
        <w:t>7.3 产教融合亟待加强</w:t>
      </w:r>
      <w:bookmarkEnd w:id="100"/>
    </w:p>
    <w:p w14:paraId="0FE438EF">
      <w:pPr>
        <w:pStyle w:val="16"/>
        <w:rPr>
          <w:rFonts w:hint="default"/>
          <w:lang w:val="en-US" w:eastAsia="zh-CN"/>
        </w:rPr>
      </w:pPr>
      <w:r>
        <w:rPr>
          <w:rFonts w:hint="default"/>
          <w:lang w:val="en-US" w:eastAsia="zh-CN"/>
        </w:rPr>
        <w:t>产教融合作为衡量职业教育改革成效的重要标志，是实现教育链、产业链、供应链、人才链与价值链有机衔接的重要举措。但从实践层面来看，我市职业院校的产教融合工作呈现“合而不深”“校热企冷”等问题。主要表现有：校企合作中存在合作企业规模不大，学校专业力量建设不足等问题，导致合作对双方产生的贡献较低，创造的价值不足；部分校企合作停留在协议层面或劳务用工的表层，企业未能深入参与到职业院校的人才培养过程中；职业院校缺乏与本地企业信息沟通的平台，存在着人才培养与市场需求之间的脱节等问题。</w:t>
      </w:r>
    </w:p>
    <w:p w14:paraId="6C97859A">
      <w:pPr>
        <w:rPr>
          <w:rFonts w:hint="default"/>
          <w:lang w:val="en-US" w:eastAsia="zh-CN"/>
        </w:rPr>
      </w:pPr>
      <w:r>
        <w:rPr>
          <w:rFonts w:hint="default"/>
          <w:lang w:val="en-US" w:eastAsia="zh-CN"/>
        </w:rPr>
        <w:br w:type="page"/>
      </w:r>
    </w:p>
    <w:p w14:paraId="1482A090">
      <w:pPr>
        <w:pStyle w:val="19"/>
        <w:bidi w:val="0"/>
        <w:ind w:firstLine="420" w:firstLineChars="0"/>
        <w:rPr>
          <w:rFonts w:hint="eastAsia"/>
          <w:lang w:val="en-US" w:eastAsia="zh-CN"/>
        </w:rPr>
      </w:pPr>
      <w:bookmarkStart w:id="101" w:name="_Toc22058"/>
      <w:r>
        <w:rPr>
          <w:rFonts w:hint="eastAsia"/>
          <w:lang w:val="en-US" w:eastAsia="zh-CN"/>
        </w:rPr>
        <w:t>附表1：人才培养质量计分卡</w:t>
      </w:r>
      <w:bookmarkEnd w:id="101"/>
    </w:p>
    <w:p w14:paraId="0242A571">
      <w:pPr>
        <w:pStyle w:val="16"/>
        <w:ind w:left="0" w:leftChars="0" w:firstLine="0" w:firstLineChars="0"/>
        <w:rPr>
          <w:rFonts w:hint="default"/>
          <w:lang w:val="en-US" w:eastAsia="zh-CN"/>
        </w:rPr>
      </w:pPr>
      <w:r>
        <w:rPr>
          <w:rFonts w:hint="default"/>
          <w:lang w:val="en-US" w:eastAsia="zh-CN"/>
        </w:rPr>
        <w:drawing>
          <wp:inline distT="0" distB="0" distL="114300" distR="114300">
            <wp:extent cx="5039995" cy="3455670"/>
            <wp:effectExtent l="0" t="0" r="8255" b="11430"/>
            <wp:docPr id="12" name="图片 12" descr="人才培养质量计分卡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人才培养质量计分卡_new"/>
                    <pic:cNvPicPr>
                      <a:picLocks noChangeAspect="1"/>
                    </pic:cNvPicPr>
                  </pic:nvPicPr>
                  <pic:blipFill>
                    <a:blip r:embed="rId24"/>
                    <a:stretch>
                      <a:fillRect/>
                    </a:stretch>
                  </pic:blipFill>
                  <pic:spPr>
                    <a:xfrm>
                      <a:off x="0" y="0"/>
                      <a:ext cx="5039995" cy="3455670"/>
                    </a:xfrm>
                    <a:prstGeom prst="rect">
                      <a:avLst/>
                    </a:prstGeom>
                  </pic:spPr>
                </pic:pic>
              </a:graphicData>
            </a:graphic>
          </wp:inline>
        </w:drawing>
      </w:r>
    </w:p>
    <w:p w14:paraId="130EAD9F">
      <w:pPr>
        <w:rPr>
          <w:rFonts w:hint="default"/>
          <w:lang w:val="en-US" w:eastAsia="zh-CN"/>
        </w:rPr>
      </w:pPr>
      <w:r>
        <w:rPr>
          <w:rFonts w:hint="default"/>
          <w:lang w:val="en-US" w:eastAsia="zh-CN"/>
        </w:rPr>
        <w:br w:type="page"/>
      </w:r>
    </w:p>
    <w:p w14:paraId="38323D2C">
      <w:pPr>
        <w:pStyle w:val="16"/>
        <w:ind w:left="0" w:leftChars="0" w:firstLine="0" w:firstLineChars="0"/>
        <w:rPr>
          <w:rFonts w:hint="default"/>
          <w:lang w:val="en-US" w:eastAsia="zh-CN"/>
        </w:rPr>
      </w:pPr>
    </w:p>
    <w:p w14:paraId="34A86BF5">
      <w:pPr>
        <w:pStyle w:val="19"/>
        <w:bidi w:val="0"/>
        <w:ind w:firstLine="0" w:firstLineChars="0"/>
        <w:rPr>
          <w:rFonts w:hint="default"/>
          <w:lang w:val="en-US" w:eastAsia="zh-CN"/>
        </w:rPr>
      </w:pPr>
      <w:bookmarkStart w:id="102" w:name="_Toc16557"/>
      <w:r>
        <w:rPr>
          <w:rFonts w:hint="default"/>
          <w:lang w:val="en-US" w:eastAsia="zh-CN"/>
        </w:rPr>
        <w:t>附表</w:t>
      </w:r>
      <w:r>
        <w:rPr>
          <w:rFonts w:hint="eastAsia"/>
          <w:lang w:val="en-US" w:eastAsia="zh-CN"/>
        </w:rPr>
        <w:t>2</w:t>
      </w:r>
      <w:r>
        <w:rPr>
          <w:rFonts w:hint="default"/>
          <w:lang w:val="en-US" w:eastAsia="zh-CN"/>
        </w:rPr>
        <w:t>：满意度调查表</w:t>
      </w:r>
      <w:bookmarkEnd w:id="102"/>
    </w:p>
    <w:p w14:paraId="0712CF7B">
      <w:pPr>
        <w:pStyle w:val="16"/>
        <w:ind w:left="0" w:leftChars="0" w:firstLine="0" w:firstLineChars="0"/>
        <w:jc w:val="center"/>
        <w:rPr>
          <w:rFonts w:hint="default"/>
          <w:lang w:val="en-US" w:eastAsia="zh-CN"/>
        </w:rPr>
      </w:pPr>
      <w:r>
        <w:rPr>
          <w:rFonts w:hint="default"/>
          <w:lang w:val="en-US" w:eastAsia="zh-CN"/>
        </w:rPr>
        <w:drawing>
          <wp:inline distT="0" distB="0" distL="114300" distR="114300">
            <wp:extent cx="5039995" cy="3338830"/>
            <wp:effectExtent l="0" t="0" r="8255" b="13970"/>
            <wp:docPr id="21" name="图片 21" descr="满意度调查表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满意度调查表_new"/>
                    <pic:cNvPicPr>
                      <a:picLocks noChangeAspect="1"/>
                    </pic:cNvPicPr>
                  </pic:nvPicPr>
                  <pic:blipFill>
                    <a:blip r:embed="rId25"/>
                    <a:stretch>
                      <a:fillRect/>
                    </a:stretch>
                  </pic:blipFill>
                  <pic:spPr>
                    <a:xfrm>
                      <a:off x="0" y="0"/>
                      <a:ext cx="5039995" cy="3338830"/>
                    </a:xfrm>
                    <a:prstGeom prst="rect">
                      <a:avLst/>
                    </a:prstGeom>
                  </pic:spPr>
                </pic:pic>
              </a:graphicData>
            </a:graphic>
          </wp:inline>
        </w:drawing>
      </w:r>
    </w:p>
    <w:p w14:paraId="622AD5B0">
      <w:pPr>
        <w:pStyle w:val="19"/>
        <w:bidi w:val="0"/>
        <w:ind w:firstLine="0" w:firstLineChars="0"/>
        <w:rPr>
          <w:rFonts w:hint="default"/>
          <w:lang w:val="en-US" w:eastAsia="zh-CN"/>
        </w:rPr>
      </w:pPr>
      <w:bookmarkStart w:id="103" w:name="_Toc11163"/>
      <w:r>
        <w:rPr>
          <w:rFonts w:hint="default"/>
          <w:lang w:val="en-US" w:eastAsia="zh-CN"/>
        </w:rPr>
        <w:t>附表</w:t>
      </w:r>
      <w:r>
        <w:rPr>
          <w:rFonts w:hint="eastAsia"/>
          <w:lang w:val="en-US" w:eastAsia="zh-CN"/>
        </w:rPr>
        <w:t>3</w:t>
      </w:r>
      <w:r>
        <w:rPr>
          <w:rFonts w:hint="default"/>
          <w:lang w:val="en-US" w:eastAsia="zh-CN"/>
        </w:rPr>
        <w:t>：教学资源表</w:t>
      </w:r>
      <w:bookmarkEnd w:id="103"/>
    </w:p>
    <w:p w14:paraId="0347E53E">
      <w:pPr>
        <w:pStyle w:val="16"/>
        <w:ind w:left="0" w:leftChars="0" w:firstLine="0" w:firstLineChars="0"/>
        <w:jc w:val="center"/>
        <w:rPr>
          <w:rFonts w:hint="default"/>
          <w:lang w:val="en-US" w:eastAsia="zh-CN"/>
        </w:rPr>
      </w:pPr>
      <w:r>
        <w:rPr>
          <w:rFonts w:hint="default"/>
          <w:lang w:val="en-US" w:eastAsia="zh-CN"/>
        </w:rPr>
        <w:drawing>
          <wp:inline distT="0" distB="0" distL="114300" distR="114300">
            <wp:extent cx="3780155" cy="8208645"/>
            <wp:effectExtent l="0" t="0" r="10795" b="1905"/>
            <wp:docPr id="6" name="图片 6" descr="教学资源表_ne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教学资源表_new (1)"/>
                    <pic:cNvPicPr>
                      <a:picLocks noChangeAspect="1"/>
                    </pic:cNvPicPr>
                  </pic:nvPicPr>
                  <pic:blipFill>
                    <a:blip r:embed="rId26"/>
                    <a:stretch>
                      <a:fillRect/>
                    </a:stretch>
                  </pic:blipFill>
                  <pic:spPr>
                    <a:xfrm>
                      <a:off x="0" y="0"/>
                      <a:ext cx="3780155" cy="8208645"/>
                    </a:xfrm>
                    <a:prstGeom prst="rect">
                      <a:avLst/>
                    </a:prstGeom>
                  </pic:spPr>
                </pic:pic>
              </a:graphicData>
            </a:graphic>
          </wp:inline>
        </w:drawing>
      </w:r>
    </w:p>
    <w:p w14:paraId="1A65DAA9">
      <w:pPr>
        <w:pStyle w:val="19"/>
        <w:bidi w:val="0"/>
        <w:ind w:firstLine="0" w:firstLineChars="0"/>
        <w:rPr>
          <w:rFonts w:hint="default"/>
          <w:lang w:val="en-US" w:eastAsia="zh-CN"/>
        </w:rPr>
      </w:pPr>
      <w:bookmarkStart w:id="104" w:name="_Toc29982"/>
      <w:r>
        <w:rPr>
          <w:rFonts w:hint="default"/>
          <w:lang w:val="en-US" w:eastAsia="zh-CN"/>
        </w:rPr>
        <w:t>附表</w:t>
      </w:r>
      <w:r>
        <w:rPr>
          <w:rFonts w:hint="eastAsia"/>
          <w:lang w:val="en-US" w:eastAsia="zh-CN"/>
        </w:rPr>
        <w:t>4</w:t>
      </w:r>
      <w:r>
        <w:rPr>
          <w:rFonts w:hint="default"/>
          <w:lang w:val="en-US" w:eastAsia="zh-CN"/>
        </w:rPr>
        <w:t>：国际影响表</w:t>
      </w:r>
      <w:bookmarkEnd w:id="104"/>
    </w:p>
    <w:p w14:paraId="10022383">
      <w:pPr>
        <w:pStyle w:val="16"/>
        <w:ind w:left="0" w:leftChars="0" w:firstLine="0" w:firstLineChars="0"/>
        <w:rPr>
          <w:rFonts w:hint="default"/>
          <w:lang w:val="en-US" w:eastAsia="zh-CN"/>
        </w:rPr>
      </w:pPr>
      <w:r>
        <w:rPr>
          <w:rFonts w:hint="default"/>
          <w:lang w:val="en-US" w:eastAsia="zh-CN"/>
        </w:rPr>
        <w:drawing>
          <wp:inline distT="0" distB="0" distL="114300" distR="114300">
            <wp:extent cx="5039995" cy="5400040"/>
            <wp:effectExtent l="0" t="0" r="8255" b="10160"/>
            <wp:docPr id="15" name="图片 15" descr="国际影响表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国际影响表_new"/>
                    <pic:cNvPicPr>
                      <a:picLocks noChangeAspect="1"/>
                    </pic:cNvPicPr>
                  </pic:nvPicPr>
                  <pic:blipFill>
                    <a:blip r:embed="rId27"/>
                    <a:stretch>
                      <a:fillRect/>
                    </a:stretch>
                  </pic:blipFill>
                  <pic:spPr>
                    <a:xfrm>
                      <a:off x="0" y="0"/>
                      <a:ext cx="5039995" cy="5400040"/>
                    </a:xfrm>
                    <a:prstGeom prst="rect">
                      <a:avLst/>
                    </a:prstGeom>
                  </pic:spPr>
                </pic:pic>
              </a:graphicData>
            </a:graphic>
          </wp:inline>
        </w:drawing>
      </w:r>
    </w:p>
    <w:p w14:paraId="68BA299D">
      <w:pPr>
        <w:pStyle w:val="19"/>
        <w:bidi w:val="0"/>
        <w:ind w:firstLine="0" w:firstLineChars="0"/>
        <w:rPr>
          <w:rFonts w:hint="default"/>
          <w:lang w:val="en-US" w:eastAsia="zh-CN"/>
        </w:rPr>
      </w:pPr>
      <w:bookmarkStart w:id="105" w:name="_Toc7330"/>
      <w:r>
        <w:rPr>
          <w:rFonts w:hint="default"/>
          <w:lang w:val="en-US" w:eastAsia="zh-CN"/>
        </w:rPr>
        <w:t>附表</w:t>
      </w:r>
      <w:r>
        <w:rPr>
          <w:rFonts w:hint="eastAsia"/>
          <w:lang w:val="en-US" w:eastAsia="zh-CN"/>
        </w:rPr>
        <w:t>5</w:t>
      </w:r>
      <w:r>
        <w:rPr>
          <w:rFonts w:hint="default"/>
          <w:lang w:val="en-US" w:eastAsia="zh-CN"/>
        </w:rPr>
        <w:t>：服务贡献表</w:t>
      </w:r>
      <w:bookmarkEnd w:id="105"/>
    </w:p>
    <w:p w14:paraId="209E756C">
      <w:pPr>
        <w:pStyle w:val="16"/>
        <w:ind w:left="0" w:leftChars="0" w:firstLine="0" w:firstLineChars="0"/>
        <w:rPr>
          <w:rFonts w:hint="default"/>
          <w:lang w:val="en-US" w:eastAsia="zh-CN"/>
        </w:rPr>
      </w:pPr>
      <w:r>
        <w:rPr>
          <w:rFonts w:hint="default"/>
          <w:lang w:val="en-US" w:eastAsia="zh-CN"/>
        </w:rPr>
        <w:drawing>
          <wp:inline distT="0" distB="0" distL="114300" distR="114300">
            <wp:extent cx="5039995" cy="5039995"/>
            <wp:effectExtent l="0" t="0" r="8255" b="8255"/>
            <wp:docPr id="17" name="图片 17" descr="服务贡献表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服务贡献表_new"/>
                    <pic:cNvPicPr>
                      <a:picLocks noChangeAspect="1"/>
                    </pic:cNvPicPr>
                  </pic:nvPicPr>
                  <pic:blipFill>
                    <a:blip r:embed="rId28"/>
                    <a:stretch>
                      <a:fillRect/>
                    </a:stretch>
                  </pic:blipFill>
                  <pic:spPr>
                    <a:xfrm>
                      <a:off x="0" y="0"/>
                      <a:ext cx="5039995" cy="5039995"/>
                    </a:xfrm>
                    <a:prstGeom prst="rect">
                      <a:avLst/>
                    </a:prstGeom>
                  </pic:spPr>
                </pic:pic>
              </a:graphicData>
            </a:graphic>
          </wp:inline>
        </w:drawing>
      </w:r>
    </w:p>
    <w:p w14:paraId="4B0CB7C3">
      <w:pPr>
        <w:pStyle w:val="19"/>
        <w:bidi w:val="0"/>
        <w:ind w:firstLine="0" w:firstLineChars="0"/>
        <w:rPr>
          <w:rFonts w:hint="default"/>
          <w:lang w:val="en-US" w:eastAsia="zh-CN"/>
        </w:rPr>
      </w:pPr>
      <w:bookmarkStart w:id="106" w:name="_Toc28961"/>
      <w:r>
        <w:rPr>
          <w:rFonts w:hint="default"/>
          <w:lang w:val="en-US" w:eastAsia="zh-CN"/>
        </w:rPr>
        <w:t>附表</w:t>
      </w:r>
      <w:r>
        <w:rPr>
          <w:rFonts w:hint="eastAsia"/>
          <w:lang w:val="en-US" w:eastAsia="zh-CN"/>
        </w:rPr>
        <w:t>6</w:t>
      </w:r>
      <w:r>
        <w:rPr>
          <w:rFonts w:hint="default"/>
          <w:lang w:val="en-US" w:eastAsia="zh-CN"/>
        </w:rPr>
        <w:t>：落实政策表</w:t>
      </w:r>
      <w:bookmarkEnd w:id="106"/>
    </w:p>
    <w:p w14:paraId="6332AD18">
      <w:pPr>
        <w:pStyle w:val="16"/>
        <w:ind w:left="0" w:leftChars="0" w:firstLine="0" w:firstLineChars="0"/>
        <w:rPr>
          <w:rFonts w:hint="default"/>
          <w:lang w:val="en-US" w:eastAsia="zh-CN"/>
        </w:rPr>
      </w:pPr>
      <w:r>
        <w:rPr>
          <w:rFonts w:hint="default"/>
          <w:lang w:val="en-US" w:eastAsia="zh-CN"/>
        </w:rPr>
        <w:drawing>
          <wp:inline distT="0" distB="0" distL="114300" distR="114300">
            <wp:extent cx="5039995" cy="5759450"/>
            <wp:effectExtent l="0" t="0" r="8255" b="12700"/>
            <wp:docPr id="18" name="图片 18" descr="落实政策表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落实政策表_new"/>
                    <pic:cNvPicPr>
                      <a:picLocks noChangeAspect="1"/>
                    </pic:cNvPicPr>
                  </pic:nvPicPr>
                  <pic:blipFill>
                    <a:blip r:embed="rId29"/>
                    <a:stretch>
                      <a:fillRect/>
                    </a:stretch>
                  </pic:blipFill>
                  <pic:spPr>
                    <a:xfrm>
                      <a:off x="0" y="0"/>
                      <a:ext cx="5039995" cy="5759450"/>
                    </a:xfrm>
                    <a:prstGeom prst="rect">
                      <a:avLst/>
                    </a:prstGeom>
                  </pic:spPr>
                </pic:pic>
              </a:graphicData>
            </a:graphic>
          </wp:inline>
        </w:drawing>
      </w:r>
    </w:p>
    <w:p w14:paraId="574992F3">
      <w:pPr>
        <w:pStyle w:val="16"/>
        <w:ind w:left="0" w:leftChars="0" w:firstLine="0" w:firstLineChars="0"/>
        <w:rPr>
          <w:rFonts w:hint="default"/>
          <w:lang w:val="en-US" w:eastAsia="zh-CN"/>
        </w:rPr>
        <w:sectPr>
          <w:footerReference r:id="rId5" w:type="default"/>
          <w:pgSz w:w="11906" w:h="16838"/>
          <w:pgMar w:top="1440" w:right="1800" w:bottom="1440" w:left="1800" w:header="851" w:footer="992" w:gutter="0"/>
          <w:pgNumType w:fmt="decimal" w:start="1"/>
          <w:cols w:space="425" w:num="1"/>
          <w:docGrid w:type="lines" w:linePitch="312" w:charSpace="0"/>
        </w:sectPr>
      </w:pPr>
    </w:p>
    <w:p w14:paraId="41A24FF3">
      <w:pPr>
        <w:pStyle w:val="16"/>
        <w:ind w:left="0" w:leftChars="0" w:firstLine="0" w:firstLineChars="0"/>
        <w:rPr>
          <w:rFonts w:hint="default"/>
          <w:lang w:val="en-US" w:eastAsia="zh-CN"/>
        </w:rPr>
      </w:pPr>
    </w:p>
    <w:sectPr>
      <w:footerReference r:id="rId6"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script"/>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7F12F">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082A1A">
                          <w:pPr>
                            <w:pStyle w:val="8"/>
                            <w:rPr>
                              <w:sz w:val="24"/>
                              <w:szCs w:val="28"/>
                            </w:rPr>
                          </w:pPr>
                          <w:r>
                            <w:rPr>
                              <w:sz w:val="24"/>
                              <w:szCs w:val="28"/>
                            </w:rPr>
                            <w:t xml:space="preserve">— </w:t>
                          </w:r>
                          <w:r>
                            <w:rPr>
                              <w:rFonts w:hint="eastAsia"/>
                              <w:sz w:val="24"/>
                              <w:szCs w:val="28"/>
                              <w:lang w:val="en-US" w:eastAsia="zh-CN"/>
                            </w:rPr>
                            <w:t xml:space="preserve"> </w:t>
                          </w:r>
                          <w:r>
                            <w:rPr>
                              <w:sz w:val="24"/>
                              <w:szCs w:val="28"/>
                            </w:rPr>
                            <w:fldChar w:fldCharType="begin"/>
                          </w:r>
                          <w:r>
                            <w:rPr>
                              <w:sz w:val="24"/>
                              <w:szCs w:val="28"/>
                            </w:rPr>
                            <w:instrText xml:space="preserve"> PAGE  \* MERGEFORMAT </w:instrText>
                          </w:r>
                          <w:r>
                            <w:rPr>
                              <w:sz w:val="24"/>
                              <w:szCs w:val="28"/>
                            </w:rPr>
                            <w:fldChar w:fldCharType="separate"/>
                          </w:r>
                          <w:r>
                            <w:rPr>
                              <w:sz w:val="24"/>
                              <w:szCs w:val="28"/>
                            </w:rPr>
                            <w:t>- 1 -</w:t>
                          </w:r>
                          <w:r>
                            <w:rPr>
                              <w:sz w:val="24"/>
                              <w:szCs w:val="28"/>
                            </w:rPr>
                            <w:fldChar w:fldCharType="end"/>
                          </w:r>
                          <w:r>
                            <w:rPr>
                              <w:sz w:val="24"/>
                              <w:szCs w:val="28"/>
                            </w:rPr>
                            <w:t xml:space="preserve"> </w:t>
                          </w:r>
                          <w:r>
                            <w:rPr>
                              <w:rFonts w:hint="eastAsia"/>
                              <w:sz w:val="24"/>
                              <w:szCs w:val="28"/>
                              <w:lang w:val="en-US" w:eastAsia="zh-CN"/>
                            </w:rPr>
                            <w:t xml:space="preserve"> </w:t>
                          </w:r>
                          <w:r>
                            <w:rPr>
                              <w:sz w:val="24"/>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F082A1A">
                    <w:pPr>
                      <w:pStyle w:val="8"/>
                      <w:rPr>
                        <w:sz w:val="24"/>
                        <w:szCs w:val="28"/>
                      </w:rPr>
                    </w:pPr>
                    <w:r>
                      <w:rPr>
                        <w:sz w:val="24"/>
                        <w:szCs w:val="28"/>
                      </w:rPr>
                      <w:t xml:space="preserve">— </w:t>
                    </w:r>
                    <w:r>
                      <w:rPr>
                        <w:rFonts w:hint="eastAsia"/>
                        <w:sz w:val="24"/>
                        <w:szCs w:val="28"/>
                        <w:lang w:val="en-US" w:eastAsia="zh-CN"/>
                      </w:rPr>
                      <w:t xml:space="preserve"> </w:t>
                    </w:r>
                    <w:r>
                      <w:rPr>
                        <w:sz w:val="24"/>
                        <w:szCs w:val="28"/>
                      </w:rPr>
                      <w:fldChar w:fldCharType="begin"/>
                    </w:r>
                    <w:r>
                      <w:rPr>
                        <w:sz w:val="24"/>
                        <w:szCs w:val="28"/>
                      </w:rPr>
                      <w:instrText xml:space="preserve"> PAGE  \* MERGEFORMAT </w:instrText>
                    </w:r>
                    <w:r>
                      <w:rPr>
                        <w:sz w:val="24"/>
                        <w:szCs w:val="28"/>
                      </w:rPr>
                      <w:fldChar w:fldCharType="separate"/>
                    </w:r>
                    <w:r>
                      <w:rPr>
                        <w:sz w:val="24"/>
                        <w:szCs w:val="28"/>
                      </w:rPr>
                      <w:t>- 1 -</w:t>
                    </w:r>
                    <w:r>
                      <w:rPr>
                        <w:sz w:val="24"/>
                        <w:szCs w:val="28"/>
                      </w:rPr>
                      <w:fldChar w:fldCharType="end"/>
                    </w:r>
                    <w:r>
                      <w:rPr>
                        <w:sz w:val="24"/>
                        <w:szCs w:val="28"/>
                      </w:rPr>
                      <w:t xml:space="preserve"> </w:t>
                    </w:r>
                    <w:r>
                      <w:rPr>
                        <w:rFonts w:hint="eastAsia"/>
                        <w:sz w:val="24"/>
                        <w:szCs w:val="28"/>
                        <w:lang w:val="en-US" w:eastAsia="zh-CN"/>
                      </w:rPr>
                      <w:t xml:space="preserve"> </w:t>
                    </w:r>
                    <w:r>
                      <w:rPr>
                        <w:sz w:val="24"/>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E9B35">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pPr>
      <w:r>
        <w:separator/>
      </w:r>
    </w:p>
  </w:footnote>
  <w:footnote w:type="continuationSeparator" w:id="1">
    <w:p>
      <w:pPr>
        <w:spacing w:line="30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371726"/>
    <w:multiLevelType w:val="singleLevel"/>
    <w:tmpl w:val="9C371726"/>
    <w:lvl w:ilvl="0" w:tentative="0">
      <w:start w:val="1"/>
      <w:numFmt w:val="decimal"/>
      <w:pStyle w:val="29"/>
      <w:suff w:val="nothing"/>
      <w:lvlText w:val="%1."/>
      <w:lvlJc w:val="left"/>
      <w:pPr>
        <w:tabs>
          <w:tab w:val="left" w:pos="0"/>
        </w:tabs>
        <w:ind w:left="0" w:firstLine="397"/>
      </w:pPr>
      <w:rPr>
        <w:rFonts w:hint="default" w:ascii="仿宋_GB2312" w:hAnsi="仿宋_GB2312" w:eastAsia="仿宋_GB2312"/>
        <w:b/>
        <w:sz w:val="32"/>
      </w:rPr>
    </w:lvl>
  </w:abstractNum>
  <w:abstractNum w:abstractNumId="1">
    <w:nsid w:val="44551CB8"/>
    <w:multiLevelType w:val="singleLevel"/>
    <w:tmpl w:val="44551CB8"/>
    <w:lvl w:ilvl="0" w:tentative="0">
      <w:start w:val="1"/>
      <w:numFmt w:val="chineseCounting"/>
      <w:pStyle w:val="18"/>
      <w:suff w:val="nothing"/>
      <w:lvlText w:val="（%1）"/>
      <w:lvlJc w:val="left"/>
      <w:pPr>
        <w:tabs>
          <w:tab w:val="left" w:pos="5103"/>
        </w:tabs>
        <w:ind w:left="5103" w:firstLine="0"/>
      </w:pPr>
      <w:rPr>
        <w:rFonts w:hint="eastAsia" w:eastAsia="楷体"/>
        <w:b/>
        <w:sz w:val="32"/>
      </w:rPr>
    </w:lvl>
  </w:abstractNum>
  <w:abstractNum w:abstractNumId="2">
    <w:nsid w:val="5D587385"/>
    <w:multiLevelType w:val="singleLevel"/>
    <w:tmpl w:val="5D587385"/>
    <w:lvl w:ilvl="0" w:tentative="0">
      <w:start w:val="1"/>
      <w:numFmt w:val="chineseCounting"/>
      <w:pStyle w:val="15"/>
      <w:suff w:val="nothing"/>
      <w:lvlText w:val="%1、"/>
      <w:lvlJc w:val="left"/>
      <w:pPr>
        <w:tabs>
          <w:tab w:val="left" w:pos="0"/>
        </w:tabs>
        <w:ind w:left="0" w:firstLine="0"/>
      </w:pPr>
      <w:rPr>
        <w:rFonts w:hint="eastAsia" w:eastAsia="黑体"/>
        <w:b w:val="0"/>
        <w:sz w:val="32"/>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IxNmM2MGI0ZDVmOWQwYzY1YzE3ZDA0NzhmM2IxYWMifQ=="/>
  </w:docVars>
  <w:rsids>
    <w:rsidRoot w:val="00172A27"/>
    <w:rsid w:val="02956785"/>
    <w:rsid w:val="068766B9"/>
    <w:rsid w:val="07DB5D03"/>
    <w:rsid w:val="09D050EF"/>
    <w:rsid w:val="0A094CF7"/>
    <w:rsid w:val="0D403094"/>
    <w:rsid w:val="0E522BC9"/>
    <w:rsid w:val="101B49F2"/>
    <w:rsid w:val="10B400D6"/>
    <w:rsid w:val="13441F7C"/>
    <w:rsid w:val="136E4C9D"/>
    <w:rsid w:val="13BA052A"/>
    <w:rsid w:val="1410303C"/>
    <w:rsid w:val="1486186A"/>
    <w:rsid w:val="16011CAF"/>
    <w:rsid w:val="187B2616"/>
    <w:rsid w:val="1A7F48BE"/>
    <w:rsid w:val="1D59324A"/>
    <w:rsid w:val="1DCF2045"/>
    <w:rsid w:val="228964B1"/>
    <w:rsid w:val="24885FA4"/>
    <w:rsid w:val="26885EAC"/>
    <w:rsid w:val="29553630"/>
    <w:rsid w:val="2CD114D6"/>
    <w:rsid w:val="30D20112"/>
    <w:rsid w:val="30EA6D08"/>
    <w:rsid w:val="319A780B"/>
    <w:rsid w:val="31E87583"/>
    <w:rsid w:val="32584006"/>
    <w:rsid w:val="34BF6C65"/>
    <w:rsid w:val="34EE524E"/>
    <w:rsid w:val="35A91FA7"/>
    <w:rsid w:val="38E02A41"/>
    <w:rsid w:val="39C77DB1"/>
    <w:rsid w:val="3A3A2CE3"/>
    <w:rsid w:val="3D485717"/>
    <w:rsid w:val="3D9E4224"/>
    <w:rsid w:val="3EB07A18"/>
    <w:rsid w:val="3F516B05"/>
    <w:rsid w:val="414708C4"/>
    <w:rsid w:val="424652FC"/>
    <w:rsid w:val="42CB5ED4"/>
    <w:rsid w:val="442E0E42"/>
    <w:rsid w:val="44492562"/>
    <w:rsid w:val="451F1453"/>
    <w:rsid w:val="45B37E61"/>
    <w:rsid w:val="48E521D3"/>
    <w:rsid w:val="4B7C02F9"/>
    <w:rsid w:val="4B9605F6"/>
    <w:rsid w:val="4C72630D"/>
    <w:rsid w:val="4CA47A94"/>
    <w:rsid w:val="4CDB0767"/>
    <w:rsid w:val="4E09400D"/>
    <w:rsid w:val="4E1D3741"/>
    <w:rsid w:val="4F495424"/>
    <w:rsid w:val="4F833B28"/>
    <w:rsid w:val="51066EF0"/>
    <w:rsid w:val="513D182A"/>
    <w:rsid w:val="514E519C"/>
    <w:rsid w:val="52EB59A5"/>
    <w:rsid w:val="571322DE"/>
    <w:rsid w:val="59001BE7"/>
    <w:rsid w:val="59080725"/>
    <w:rsid w:val="593C3F2A"/>
    <w:rsid w:val="5A426AD9"/>
    <w:rsid w:val="5C347E9F"/>
    <w:rsid w:val="60114023"/>
    <w:rsid w:val="606B47E6"/>
    <w:rsid w:val="6095384B"/>
    <w:rsid w:val="60F77DED"/>
    <w:rsid w:val="61F40A0D"/>
    <w:rsid w:val="62847CD3"/>
    <w:rsid w:val="638630FE"/>
    <w:rsid w:val="667C15C5"/>
    <w:rsid w:val="68EE44CD"/>
    <w:rsid w:val="69342E70"/>
    <w:rsid w:val="6A5D7F8D"/>
    <w:rsid w:val="6BCE4EB6"/>
    <w:rsid w:val="6CCB5899"/>
    <w:rsid w:val="6DB01147"/>
    <w:rsid w:val="6DB36974"/>
    <w:rsid w:val="6F5F5FE8"/>
    <w:rsid w:val="71533B12"/>
    <w:rsid w:val="71984A02"/>
    <w:rsid w:val="758912FD"/>
    <w:rsid w:val="75EC0BD5"/>
    <w:rsid w:val="76DC767E"/>
    <w:rsid w:val="78CA0EDE"/>
    <w:rsid w:val="7AA5772A"/>
    <w:rsid w:val="7B097703"/>
    <w:rsid w:val="7B9C3293"/>
    <w:rsid w:val="7CE553A2"/>
    <w:rsid w:val="7D2D7801"/>
    <w:rsid w:val="7E8C6AAB"/>
    <w:rsid w:val="7F9C0EC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00" w:lineRule="auto"/>
      <w:ind w:firstLine="0" w:firstLineChars="0"/>
      <w:jc w:val="both"/>
    </w:pPr>
    <w:rPr>
      <w:rFonts w:ascii="Times New Roman" w:hAnsi="Times New Roman" w:eastAsia="宋体" w:cs="Times New Roman"/>
      <w:kern w:val="2"/>
      <w:sz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ind w:firstLine="0" w:firstLineChars="0"/>
      <w:jc w:val="center"/>
      <w:outlineLvl w:val="0"/>
    </w:pPr>
    <w:rPr>
      <w:rFonts w:cstheme="minorBidi"/>
      <w:b/>
      <w:kern w:val="44"/>
      <w:sz w:val="44"/>
    </w:rPr>
  </w:style>
  <w:style w:type="paragraph" w:styleId="3">
    <w:name w:val="heading 2"/>
    <w:basedOn w:val="1"/>
    <w:next w:val="1"/>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autoRedefine/>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autoRedefine/>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4">
    <w:name w:val="Default Paragraph Font"/>
    <w:autoRedefine/>
    <w:unhideWhenUsed/>
    <w:qFormat/>
    <w:uiPriority w:val="1"/>
  </w:style>
  <w:style w:type="table" w:default="1" w:styleId="13">
    <w:name w:val="Normal Table"/>
    <w:autoRedefine/>
    <w:semiHidden/>
    <w:qFormat/>
    <w:uiPriority w:val="0"/>
    <w:tblPr>
      <w:tblCellMar>
        <w:top w:w="0" w:type="dxa"/>
        <w:left w:w="108" w:type="dxa"/>
        <w:bottom w:w="0" w:type="dxa"/>
        <w:right w:w="108" w:type="dxa"/>
      </w:tblCellMar>
    </w:tblPr>
  </w:style>
  <w:style w:type="paragraph" w:styleId="6">
    <w:name w:val="Body Text"/>
    <w:basedOn w:val="1"/>
    <w:autoRedefine/>
    <w:qFormat/>
    <w:uiPriority w:val="0"/>
    <w:pPr>
      <w:spacing w:after="120" w:afterLines="0" w:afterAutospacing="0"/>
    </w:pPr>
  </w:style>
  <w:style w:type="paragraph" w:styleId="7">
    <w:name w:val="Plain Text"/>
    <w:basedOn w:val="1"/>
    <w:autoRedefine/>
    <w:qFormat/>
    <w:uiPriority w:val="0"/>
    <w:rPr>
      <w:rFonts w:ascii="宋体" w:hAnsi="Courier New"/>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autoRedefine/>
    <w:qFormat/>
    <w:uiPriority w:val="0"/>
    <w:pPr>
      <w:spacing w:line="560" w:lineRule="exact"/>
    </w:pPr>
    <w:rPr>
      <w:rFonts w:ascii="Times New Roman" w:hAnsi="Times New Roman" w:eastAsia="华文楷体"/>
      <w:sz w:val="30"/>
    </w:rPr>
  </w:style>
  <w:style w:type="paragraph" w:styleId="11">
    <w:name w:val="footnote text"/>
    <w:basedOn w:val="1"/>
    <w:link w:val="27"/>
    <w:autoRedefine/>
    <w:qFormat/>
    <w:uiPriority w:val="0"/>
    <w:pPr>
      <w:snapToGrid w:val="0"/>
      <w:spacing w:line="240" w:lineRule="auto"/>
      <w:ind w:firstLine="0" w:firstLineChars="0"/>
      <w:jc w:val="left"/>
    </w:pPr>
    <w:rPr>
      <w:sz w:val="18"/>
    </w:rPr>
  </w:style>
  <w:style w:type="paragraph" w:styleId="12">
    <w:name w:val="toc 2"/>
    <w:basedOn w:val="1"/>
    <w:next w:val="1"/>
    <w:autoRedefine/>
    <w:qFormat/>
    <w:uiPriority w:val="0"/>
    <w:pPr>
      <w:spacing w:line="520" w:lineRule="exact"/>
      <w:ind w:left="420" w:leftChars="200"/>
    </w:pPr>
    <w:rPr>
      <w:rFonts w:ascii="Times New Roman" w:hAnsi="Times New Roman" w:eastAsia="华文楷体"/>
      <w:sz w:val="30"/>
    </w:rPr>
  </w:style>
  <w:style w:type="paragraph" w:customStyle="1" w:styleId="15">
    <w:name w:val="公文一级"/>
    <w:basedOn w:val="2"/>
    <w:next w:val="1"/>
    <w:autoRedefine/>
    <w:qFormat/>
    <w:uiPriority w:val="0"/>
    <w:pPr>
      <w:numPr>
        <w:ilvl w:val="0"/>
        <w:numId w:val="1"/>
      </w:numPr>
      <w:spacing w:before="20" w:after="20" w:line="108" w:lineRule="auto"/>
      <w:ind w:firstLine="880" w:firstLineChars="200"/>
      <w:jc w:val="both"/>
    </w:pPr>
    <w:rPr>
      <w:rFonts w:ascii="Calibri" w:hAnsi="Calibri" w:eastAsia="黑体" w:cs="Times New Roman"/>
      <w:b w:val="0"/>
      <w:sz w:val="32"/>
      <w:szCs w:val="24"/>
    </w:rPr>
  </w:style>
  <w:style w:type="paragraph" w:customStyle="1" w:styleId="16">
    <w:name w:val="公文正文"/>
    <w:basedOn w:val="7"/>
    <w:autoRedefine/>
    <w:qFormat/>
    <w:uiPriority w:val="0"/>
    <w:pPr>
      <w:spacing w:line="108" w:lineRule="auto"/>
      <w:ind w:firstLine="883" w:firstLineChars="200"/>
    </w:pPr>
    <w:rPr>
      <w:rFonts w:hAnsi="宋体" w:eastAsia="仿宋_GB2312"/>
      <w:sz w:val="32"/>
      <w:szCs w:val="24"/>
    </w:rPr>
  </w:style>
  <w:style w:type="paragraph" w:customStyle="1" w:styleId="17">
    <w:name w:val="二级标题"/>
    <w:basedOn w:val="3"/>
    <w:next w:val="6"/>
    <w:link w:val="24"/>
    <w:autoRedefine/>
    <w:qFormat/>
    <w:uiPriority w:val="0"/>
    <w:pPr>
      <w:spacing w:before="100" w:beforeLines="100" w:after="100" w:afterLines="100" w:line="300" w:lineRule="auto"/>
      <w:ind w:firstLine="0" w:firstLineChars="0"/>
    </w:pPr>
    <w:rPr>
      <w:rFonts w:ascii="Times New Roman" w:hAnsi="Times New Roman" w:cs="Times New Roman"/>
      <w:kern w:val="0"/>
      <w:sz w:val="28"/>
    </w:rPr>
  </w:style>
  <w:style w:type="paragraph" w:customStyle="1" w:styleId="18">
    <w:name w:val="公文二级标题"/>
    <w:basedOn w:val="3"/>
    <w:next w:val="16"/>
    <w:link w:val="30"/>
    <w:autoRedefine/>
    <w:qFormat/>
    <w:uiPriority w:val="0"/>
    <w:pPr>
      <w:numPr>
        <w:ilvl w:val="0"/>
        <w:numId w:val="2"/>
      </w:numPr>
      <w:tabs>
        <w:tab w:val="left" w:pos="0"/>
      </w:tabs>
      <w:spacing w:before="20" w:after="20" w:line="240" w:lineRule="auto"/>
      <w:ind w:left="0" w:firstLine="988" w:firstLineChars="200"/>
    </w:pPr>
    <w:rPr>
      <w:rFonts w:ascii="Arial" w:hAnsi="Arial" w:eastAsia="楷体" w:cs="Times New Roman"/>
      <w:sz w:val="36"/>
      <w:szCs w:val="24"/>
    </w:rPr>
  </w:style>
  <w:style w:type="paragraph" w:customStyle="1" w:styleId="19">
    <w:name w:val="年报附表"/>
    <w:basedOn w:val="5"/>
    <w:next w:val="16"/>
    <w:autoRedefine/>
    <w:qFormat/>
    <w:uiPriority w:val="0"/>
    <w:pPr>
      <w:widowControl/>
      <w:topLinePunct/>
      <w:autoSpaceDE w:val="0"/>
      <w:adjustRightInd w:val="0"/>
      <w:snapToGrid w:val="0"/>
      <w:spacing w:before="20" w:after="50" w:afterLines="50" w:line="482" w:lineRule="exact"/>
      <w:jc w:val="left"/>
      <w:textAlignment w:val="baseline"/>
    </w:pPr>
    <w:rPr>
      <w:rFonts w:hint="eastAsia" w:ascii="楷体_GB2312" w:hAnsi="楷体_GB2312" w:eastAsia="楷体" w:cs="楷体_GB2312"/>
      <w:bCs/>
      <w:snapToGrid w:val="0"/>
      <w:color w:val="000000"/>
      <w:kern w:val="0"/>
      <w:position w:val="-5"/>
      <w:szCs w:val="28"/>
    </w:rPr>
  </w:style>
  <w:style w:type="paragraph" w:customStyle="1" w:styleId="20">
    <w:name w:val="三级标题"/>
    <w:basedOn w:val="4"/>
    <w:link w:val="21"/>
    <w:autoRedefine/>
    <w:qFormat/>
    <w:uiPriority w:val="0"/>
    <w:pPr>
      <w:spacing w:line="300" w:lineRule="auto"/>
      <w:ind w:firstLine="480"/>
    </w:pPr>
    <w:rPr>
      <w:rFonts w:ascii="Times New Roman" w:hAnsi="Times New Roman" w:eastAsia="黑体" w:cs="Times New Roman"/>
      <w:kern w:val="0"/>
      <w:sz w:val="24"/>
    </w:rPr>
  </w:style>
  <w:style w:type="character" w:customStyle="1" w:styleId="21">
    <w:name w:val="三级标题 Char"/>
    <w:link w:val="20"/>
    <w:autoRedefine/>
    <w:qFormat/>
    <w:uiPriority w:val="0"/>
    <w:rPr>
      <w:rFonts w:ascii="Times New Roman" w:hAnsi="Times New Roman" w:eastAsia="黑体" w:cs="Times New Roman"/>
      <w:b/>
      <w:sz w:val="24"/>
    </w:rPr>
  </w:style>
  <w:style w:type="paragraph" w:customStyle="1" w:styleId="22">
    <w:name w:val="一级标题"/>
    <w:basedOn w:val="2"/>
    <w:link w:val="23"/>
    <w:autoRedefine/>
    <w:qFormat/>
    <w:uiPriority w:val="0"/>
    <w:pPr>
      <w:spacing w:before="100" w:beforeLines="100" w:after="100" w:afterLines="100" w:line="480" w:lineRule="auto"/>
      <w:ind w:firstLine="480"/>
      <w:jc w:val="center"/>
    </w:pPr>
    <w:rPr>
      <w:rFonts w:ascii="Times New Roman" w:hAnsi="Times New Roman" w:eastAsia="黑体" w:cs="Times New Roman"/>
      <w:kern w:val="0"/>
      <w:sz w:val="32"/>
    </w:rPr>
  </w:style>
  <w:style w:type="character" w:customStyle="1" w:styleId="23">
    <w:name w:val="一级标题 Char"/>
    <w:link w:val="22"/>
    <w:autoRedefine/>
    <w:qFormat/>
    <w:uiPriority w:val="0"/>
    <w:rPr>
      <w:rFonts w:ascii="Times New Roman" w:hAnsi="Times New Roman" w:eastAsia="黑体" w:cs="Times New Roman"/>
      <w:b/>
      <w:sz w:val="32"/>
    </w:rPr>
  </w:style>
  <w:style w:type="character" w:customStyle="1" w:styleId="24">
    <w:name w:val="二级标题 Char"/>
    <w:link w:val="17"/>
    <w:autoRedefine/>
    <w:qFormat/>
    <w:uiPriority w:val="0"/>
    <w:rPr>
      <w:rFonts w:ascii="Times New Roman" w:hAnsi="Times New Roman" w:eastAsia="黑体" w:cs="Times New Roman"/>
      <w:b/>
      <w:sz w:val="28"/>
    </w:rPr>
  </w:style>
  <w:style w:type="paragraph" w:customStyle="1" w:styleId="25">
    <w:name w:val="引文"/>
    <w:basedOn w:val="1"/>
    <w:link w:val="26"/>
    <w:autoRedefine/>
    <w:qFormat/>
    <w:uiPriority w:val="0"/>
    <w:pPr>
      <w:spacing w:before="240" w:after="240"/>
      <w:ind w:left="200" w:leftChars="200"/>
    </w:pPr>
    <w:rPr>
      <w:rFonts w:eastAsia="仿宋"/>
      <w:kern w:val="0"/>
      <w:sz w:val="24"/>
    </w:rPr>
  </w:style>
  <w:style w:type="character" w:customStyle="1" w:styleId="26">
    <w:name w:val="引文 Char"/>
    <w:link w:val="25"/>
    <w:autoRedefine/>
    <w:qFormat/>
    <w:uiPriority w:val="0"/>
    <w:rPr>
      <w:rFonts w:ascii="Times New Roman" w:hAnsi="Times New Roman" w:eastAsia="仿宋"/>
      <w:sz w:val="24"/>
    </w:rPr>
  </w:style>
  <w:style w:type="character" w:customStyle="1" w:styleId="27">
    <w:name w:val="脚注文本 Char"/>
    <w:basedOn w:val="14"/>
    <w:link w:val="11"/>
    <w:autoRedefine/>
    <w:qFormat/>
    <w:uiPriority w:val="0"/>
    <w:rPr>
      <w:rFonts w:ascii="Times New Roman" w:hAnsi="Times New Roman" w:eastAsia="宋体" w:cs="Times New Roman"/>
      <w:kern w:val="2"/>
      <w:sz w:val="18"/>
      <w:szCs w:val="18"/>
      <w:lang w:val="en-US" w:eastAsia="zh-CN" w:bidi="ar-SA"/>
    </w:rPr>
  </w:style>
  <w:style w:type="paragraph" w:customStyle="1" w:styleId="28">
    <w:name w:val="公文一级标题"/>
    <w:basedOn w:val="2"/>
    <w:next w:val="16"/>
    <w:autoRedefine/>
    <w:qFormat/>
    <w:uiPriority w:val="0"/>
    <w:pPr>
      <w:spacing w:before="20" w:after="20" w:line="108" w:lineRule="auto"/>
      <w:ind w:firstLine="640" w:firstLineChars="200"/>
      <w:jc w:val="both"/>
    </w:pPr>
    <w:rPr>
      <w:rFonts w:ascii="Times New Roman" w:hAnsi="Times New Roman" w:eastAsia="黑体"/>
      <w:b w:val="0"/>
      <w:sz w:val="32"/>
    </w:rPr>
  </w:style>
  <w:style w:type="paragraph" w:customStyle="1" w:styleId="29">
    <w:name w:val="公文三级标题"/>
    <w:basedOn w:val="4"/>
    <w:next w:val="16"/>
    <w:autoRedefine/>
    <w:qFormat/>
    <w:uiPriority w:val="0"/>
    <w:pPr>
      <w:numPr>
        <w:ilvl w:val="0"/>
        <w:numId w:val="3"/>
      </w:numPr>
      <w:spacing w:before="20" w:after="20" w:line="240" w:lineRule="auto"/>
      <w:ind w:firstLine="880" w:firstLineChars="200"/>
    </w:pPr>
    <w:rPr>
      <w:rFonts w:ascii="Calibri" w:hAnsi="Calibri" w:eastAsia="仿宋_GB2312"/>
      <w:szCs w:val="24"/>
    </w:rPr>
  </w:style>
  <w:style w:type="character" w:customStyle="1" w:styleId="30">
    <w:name w:val="公文二级标题 Char"/>
    <w:link w:val="18"/>
    <w:autoRedefine/>
    <w:qFormat/>
    <w:uiPriority w:val="0"/>
    <w:rPr>
      <w:rFonts w:ascii="Arial" w:hAnsi="Arial" w:eastAsia="楷体" w:cs="Times New Roman"/>
      <w:szCs w:val="24"/>
    </w:rPr>
  </w:style>
  <w:style w:type="paragraph" w:customStyle="1" w:styleId="31">
    <w:name w:val="投标2级"/>
    <w:basedOn w:val="1"/>
    <w:autoRedefine/>
    <w:qFormat/>
    <w:uiPriority w:val="0"/>
    <w:pPr>
      <w:spacing w:line="460" w:lineRule="exact"/>
      <w:outlineLvl w:val="1"/>
    </w:pPr>
    <w:rPr>
      <w:rFonts w:hint="eastAsia" w:ascii="宋体" w:hAnsi="宋体" w:eastAsia="宋体" w:cs="宋体"/>
      <w:b/>
      <w:sz w:val="24"/>
      <w:szCs w:val="21"/>
    </w:rPr>
  </w:style>
  <w:style w:type="paragraph" w:customStyle="1" w:styleId="32">
    <w:name w:val="投标3级"/>
    <w:basedOn w:val="1"/>
    <w:next w:val="4"/>
    <w:autoRedefine/>
    <w:qFormat/>
    <w:uiPriority w:val="0"/>
    <w:pPr>
      <w:spacing w:line="520" w:lineRule="exact"/>
      <w:ind w:firstLine="1687" w:firstLineChars="200"/>
    </w:pPr>
    <w:rPr>
      <w:rFonts w:hint="eastAsia" w:ascii="宋体" w:hAnsi="宋体" w:eastAsia="宋体" w:cs="Times New Roman"/>
      <w:b/>
      <w:bCs/>
      <w:sz w:val="24"/>
      <w:szCs w:val="24"/>
    </w:rPr>
  </w:style>
  <w:style w:type="paragraph" w:customStyle="1" w:styleId="33">
    <w:name w:val="00投标1级"/>
    <w:basedOn w:val="2"/>
    <w:next w:val="1"/>
    <w:autoRedefine/>
    <w:qFormat/>
    <w:uiPriority w:val="0"/>
    <w:pPr>
      <w:spacing w:line="400" w:lineRule="exact"/>
      <w:ind w:firstLine="0" w:firstLineChars="0"/>
      <w:jc w:val="center"/>
    </w:pPr>
    <w:rPr>
      <w:rFonts w:hint="eastAsia" w:ascii="宋体" w:hAnsi="宋体" w:eastAsia="宋体" w:cs="宋体"/>
      <w:bCs/>
      <w:kern w:val="0"/>
      <w:sz w:val="28"/>
      <w:szCs w:val="28"/>
    </w:rPr>
  </w:style>
  <w:style w:type="paragraph" w:customStyle="1" w:styleId="34">
    <w:name w:val="00投标3级"/>
    <w:basedOn w:val="1"/>
    <w:next w:val="4"/>
    <w:link w:val="35"/>
    <w:autoRedefine/>
    <w:qFormat/>
    <w:uiPriority w:val="0"/>
    <w:pPr>
      <w:spacing w:line="520" w:lineRule="exact"/>
      <w:ind w:firstLine="1687" w:firstLineChars="200"/>
    </w:pPr>
    <w:rPr>
      <w:rFonts w:hint="eastAsia" w:ascii="宋体" w:hAnsi="宋体" w:eastAsia="宋体" w:cs="Times New Roman"/>
      <w:b/>
      <w:bCs/>
      <w:sz w:val="24"/>
      <w:szCs w:val="24"/>
    </w:rPr>
  </w:style>
  <w:style w:type="character" w:customStyle="1" w:styleId="35">
    <w:name w:val="投标3级 Char"/>
    <w:link w:val="34"/>
    <w:autoRedefine/>
    <w:qFormat/>
    <w:uiPriority w:val="0"/>
    <w:rPr>
      <w:rFonts w:hint="eastAsia" w:ascii="宋体" w:hAnsi="宋体" w:eastAsia="宋体" w:cs="Times New Roman"/>
      <w:b/>
      <w:bCs/>
      <w:sz w:val="24"/>
      <w:szCs w:val="24"/>
    </w:rPr>
  </w:style>
  <w:style w:type="paragraph" w:customStyle="1" w:styleId="36">
    <w:name w:val="年报二级"/>
    <w:basedOn w:val="3"/>
    <w:next w:val="16"/>
    <w:autoRedefine/>
    <w:qFormat/>
    <w:uiPriority w:val="0"/>
    <w:pPr>
      <w:spacing w:before="20" w:after="20" w:line="560" w:lineRule="exact"/>
      <w:ind w:leftChars="0" w:firstLine="643" w:firstLineChars="200"/>
    </w:pPr>
    <w:rPr>
      <w:rFonts w:hint="eastAsia" w:ascii="Calibri" w:hAnsi="Calibri" w:eastAsia="楷体"/>
      <w:b w:val="0"/>
    </w:rPr>
  </w:style>
  <w:style w:type="paragraph" w:customStyle="1" w:styleId="37">
    <w:name w:val="案例标题"/>
    <w:basedOn w:val="5"/>
    <w:autoRedefine/>
    <w:qFormat/>
    <w:uiPriority w:val="0"/>
    <w:pPr>
      <w:spacing w:after="200" w:afterLines="0" w:line="400" w:lineRule="exact"/>
      <w:ind w:firstLine="0" w:firstLineChars="0"/>
      <w:jc w:val="both"/>
    </w:pPr>
    <w:rPr>
      <w:rFonts w:hint="eastAsia" w:ascii="Calibri" w:hAnsi="Calibri" w:eastAsia="楷体"/>
      <w:sz w:val="30"/>
    </w:rPr>
  </w:style>
  <w:style w:type="paragraph" w:customStyle="1" w:styleId="38">
    <w:name w:val="年报表格"/>
    <w:basedOn w:val="5"/>
    <w:next w:val="16"/>
    <w:autoRedefine/>
    <w:qFormat/>
    <w:uiPriority w:val="0"/>
    <w:pPr>
      <w:widowControl/>
      <w:topLinePunct/>
      <w:autoSpaceDE w:val="0"/>
      <w:adjustRightInd w:val="0"/>
      <w:snapToGrid w:val="0"/>
      <w:spacing w:before="20" w:after="50" w:afterLines="50" w:line="482" w:lineRule="exact"/>
      <w:jc w:val="center"/>
      <w:textAlignment w:val="baseline"/>
    </w:pPr>
    <w:rPr>
      <w:rFonts w:hint="eastAsia" w:ascii="楷体_GB2312" w:hAnsi="楷体_GB2312" w:eastAsia="楷体" w:cs="楷体_GB2312"/>
      <w:bCs/>
      <w:snapToGrid w:val="0"/>
      <w:color w:val="000000"/>
      <w:kern w:val="0"/>
      <w:position w:val="-5"/>
      <w:szCs w:val="28"/>
    </w:rPr>
  </w:style>
  <w:style w:type="paragraph" w:customStyle="1" w:styleId="39">
    <w:name w:val="案例正文"/>
    <w:basedOn w:val="1"/>
    <w:autoRedefine/>
    <w:qFormat/>
    <w:uiPriority w:val="0"/>
    <w:pPr>
      <w:spacing w:afterLines="0" w:line="400" w:lineRule="exact"/>
      <w:ind w:firstLine="880" w:firstLineChars="200"/>
    </w:pPr>
    <w:rPr>
      <w:rFonts w:hint="eastAsia" w:ascii="Calibri" w:hAnsi="Calibri" w:eastAsia="楷体" w:cs="Times New Roman"/>
      <w:sz w:val="30"/>
    </w:rPr>
  </w:style>
  <w:style w:type="paragraph" w:customStyle="1" w:styleId="40">
    <w:name w:val="年报图片"/>
    <w:basedOn w:val="5"/>
    <w:next w:val="16"/>
    <w:autoRedefine/>
    <w:qFormat/>
    <w:uiPriority w:val="0"/>
    <w:pPr>
      <w:widowControl/>
      <w:topLinePunct/>
      <w:autoSpaceDE w:val="0"/>
      <w:adjustRightInd w:val="0"/>
      <w:snapToGrid w:val="0"/>
      <w:spacing w:before="20" w:after="50" w:afterLines="50" w:line="482" w:lineRule="exact"/>
      <w:jc w:val="center"/>
      <w:textAlignment w:val="baseline"/>
    </w:pPr>
    <w:rPr>
      <w:rFonts w:hint="eastAsia" w:ascii="楷体_GB2312" w:hAnsi="楷体_GB2312" w:eastAsia="楷体" w:cs="楷体_GB2312"/>
      <w:bCs/>
      <w:snapToGrid w:val="0"/>
      <w:color w:val="000000"/>
      <w:kern w:val="0"/>
      <w:position w:val="-5"/>
      <w:szCs w:val="28"/>
    </w:rPr>
  </w:style>
  <w:style w:type="character" w:customStyle="1" w:styleId="41">
    <w:name w:val="font21"/>
    <w:basedOn w:val="14"/>
    <w:autoRedefine/>
    <w:qFormat/>
    <w:uiPriority w:val="0"/>
    <w:rPr>
      <w:rFonts w:ascii="仿宋_GB2312" w:eastAsia="仿宋_GB2312" w:cs="仿宋_GB2312"/>
      <w:b/>
      <w:bCs/>
      <w:color w:val="FFFFFF"/>
      <w:sz w:val="21"/>
      <w:szCs w:val="21"/>
      <w:u w:val="none"/>
    </w:rPr>
  </w:style>
  <w:style w:type="character" w:customStyle="1" w:styleId="42">
    <w:name w:val="font31"/>
    <w:basedOn w:val="14"/>
    <w:autoRedefine/>
    <w:qFormat/>
    <w:uiPriority w:val="0"/>
    <w:rPr>
      <w:rFonts w:ascii="仿宋" w:hAnsi="仿宋" w:eastAsia="仿宋" w:cs="仿宋"/>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chart" Target="charts/chart1.xml"/><Relationship Id="rId10" Type="http://schemas.openxmlformats.org/officeDocument/2006/relationships/image" Target="media/image3.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Xrs\docker\22&#24066;&#25945;&#32946;&#23616;&#32844;&#25104;\231115&#65288;&#30465;&#21381;&#65289;2023&#24180;&#36136;&#37327;&#24180;&#25253;\240117&#25776;&#20889;\2023&#24180;&#25253;&#20869;&#21508;&#31181;&#34920;&#266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delete val="1"/>
          </c:dLbls>
          <c:cat>
            <c:strRef>
              <c:f>[2023年报内各种表格.xlsx]Sheet2!$B$1:$D$1</c:f>
              <c:strCache>
                <c:ptCount val="3"/>
                <c:pt idx="0">
                  <c:v>第一产业</c:v>
                </c:pt>
                <c:pt idx="1">
                  <c:v>第二产业</c:v>
                </c:pt>
                <c:pt idx="2">
                  <c:v>第三产业</c:v>
                </c:pt>
              </c:strCache>
            </c:strRef>
          </c:cat>
          <c:val>
            <c:numRef>
              <c:f>[2023年报内各种表格.xlsx]Sheet2!$B$2:$D$2</c:f>
              <c:numCache>
                <c:formatCode>General</c:formatCode>
                <c:ptCount val="3"/>
                <c:pt idx="0">
                  <c:v>18</c:v>
                </c:pt>
                <c:pt idx="1">
                  <c:v>1125</c:v>
                </c:pt>
                <c:pt idx="2">
                  <c:v>1441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b5f55e2-aeb9-4997-8eb1-0493a93db1c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50</Pages>
  <Words>1991</Words>
  <Characters>2163</Characters>
  <Lines>0</Lines>
  <Paragraphs>0</Paragraphs>
  <TotalTime>0</TotalTime>
  <ScaleCrop>false</ScaleCrop>
  <LinksUpToDate>false</LinksUpToDate>
  <CharactersWithSpaces>2289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zhaoxinlei</dc:creator>
  <cp:lastModifiedBy>钟然</cp:lastModifiedBy>
  <dcterms:modified xsi:type="dcterms:W3CDTF">2026-03-04T04:24:57Z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D0766FA0F90E487BBD8761CB3F45032D_13</vt:lpwstr>
  </property>
  <property fmtid="{D5CDD505-2E9C-101B-9397-08002B2CF9AE}" pid="4" name="KSOTemplateDocerSaveRecord">
    <vt:lpwstr>eyJoZGlkIjoiZmU1ZWY2ODY4ZTYyNDM0M2QwNTcyYzQzMjg4NTQ3MGEiLCJ1c2VySWQiOiIyNTcwOTk0MTQifQ==</vt:lpwstr>
  </property>
</Properties>
</file>