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20ECE">
      <w:pPr>
        <w:keepNext w:val="0"/>
        <w:keepLines w:val="0"/>
        <w:pageBreakBefore w:val="0"/>
        <w:widowControl/>
        <w:shd w:val="clear" w:color="auto" w:fill="FFFFFF"/>
        <w:wordWrap/>
        <w:overflowPunct/>
        <w:topLinePunct w:val="0"/>
        <w:bidi w:val="0"/>
        <w:adjustRightInd w:val="0"/>
        <w:snapToGrid w:val="0"/>
        <w:spacing w:line="540" w:lineRule="exact"/>
        <w:jc w:val="center"/>
        <w:rPr>
          <w:rFonts w:hint="eastAsia" w:ascii="方正小标宋简体" w:hAnsi="华文中宋" w:eastAsia="方正小标宋简体" w:cs="宋体"/>
          <w:color w:val="000000"/>
          <w:spacing w:val="5"/>
          <w:kern w:val="0"/>
          <w:sz w:val="44"/>
          <w:szCs w:val="44"/>
        </w:rPr>
      </w:pPr>
      <w:r>
        <w:rPr>
          <w:rFonts w:hint="eastAsia" w:ascii="方正小标宋简体" w:hAnsi="华文中宋" w:eastAsia="方正小标宋简体" w:cs="宋体"/>
          <w:bCs/>
          <w:color w:val="000000"/>
          <w:spacing w:val="5"/>
          <w:kern w:val="0"/>
          <w:sz w:val="44"/>
          <w:szCs w:val="44"/>
        </w:rPr>
        <w:t>九江市教育事业发展“十</w:t>
      </w:r>
      <w:r>
        <w:rPr>
          <w:rFonts w:hint="eastAsia" w:ascii="方正小标宋简体" w:hAnsi="华文中宋" w:eastAsia="方正小标宋简体" w:cs="宋体"/>
          <w:bCs/>
          <w:color w:val="000000"/>
          <w:spacing w:val="5"/>
          <w:kern w:val="0"/>
          <w:sz w:val="44"/>
          <w:szCs w:val="44"/>
          <w:lang w:eastAsia="zh-CN"/>
        </w:rPr>
        <w:t>五</w:t>
      </w:r>
      <w:r>
        <w:rPr>
          <w:rFonts w:hint="eastAsia" w:ascii="方正小标宋简体" w:hAnsi="华文中宋" w:eastAsia="方正小标宋简体" w:cs="宋体"/>
          <w:bCs/>
          <w:color w:val="000000"/>
          <w:spacing w:val="5"/>
          <w:kern w:val="0"/>
          <w:sz w:val="44"/>
          <w:szCs w:val="44"/>
        </w:rPr>
        <w:t>五”规划</w:t>
      </w:r>
    </w:p>
    <w:p w14:paraId="2AB10F35">
      <w:pPr>
        <w:keepNext w:val="0"/>
        <w:keepLines w:val="0"/>
        <w:pageBreakBefore w:val="0"/>
        <w:widowControl/>
        <w:shd w:val="clear" w:color="auto" w:fill="FFFFFF"/>
        <w:wordWrap/>
        <w:overflowPunct/>
        <w:topLinePunct w:val="0"/>
        <w:bidi w:val="0"/>
        <w:adjustRightInd w:val="0"/>
        <w:snapToGrid w:val="0"/>
        <w:spacing w:line="540" w:lineRule="exact"/>
        <w:jc w:val="center"/>
        <w:rPr>
          <w:rFonts w:hint="eastAsia" w:ascii="方正小标宋简体" w:hAnsi="华文中宋" w:eastAsia="方正小标宋简体" w:cs="宋体"/>
          <w:color w:val="000000"/>
          <w:spacing w:val="5"/>
          <w:kern w:val="0"/>
          <w:sz w:val="44"/>
          <w:szCs w:val="44"/>
        </w:rPr>
      </w:pPr>
      <w:r>
        <w:rPr>
          <w:rFonts w:hint="eastAsia" w:ascii="方正小标宋简体" w:hAnsi="华文中宋" w:eastAsia="方正小标宋简体" w:cs="宋体"/>
          <w:bCs/>
          <w:color w:val="000000"/>
          <w:spacing w:val="5"/>
          <w:kern w:val="0"/>
          <w:sz w:val="44"/>
          <w:szCs w:val="44"/>
        </w:rPr>
        <w:t>（202</w:t>
      </w:r>
      <w:r>
        <w:rPr>
          <w:rFonts w:hint="eastAsia" w:ascii="方正小标宋简体" w:hAnsi="华文中宋" w:eastAsia="方正小标宋简体" w:cs="宋体"/>
          <w:bCs/>
          <w:color w:val="000000"/>
          <w:spacing w:val="5"/>
          <w:kern w:val="0"/>
          <w:sz w:val="44"/>
          <w:szCs w:val="44"/>
          <w:lang w:val="en-US" w:eastAsia="zh-CN"/>
        </w:rPr>
        <w:t>6—</w:t>
      </w:r>
      <w:r>
        <w:rPr>
          <w:rFonts w:hint="eastAsia" w:ascii="方正小标宋简体" w:hAnsi="华文中宋" w:eastAsia="方正小标宋简体" w:cs="宋体"/>
          <w:bCs/>
          <w:color w:val="000000"/>
          <w:spacing w:val="5"/>
          <w:kern w:val="0"/>
          <w:sz w:val="44"/>
          <w:szCs w:val="44"/>
        </w:rPr>
        <w:t>20</w:t>
      </w:r>
      <w:r>
        <w:rPr>
          <w:rFonts w:hint="eastAsia" w:ascii="方正小标宋简体" w:hAnsi="华文中宋" w:eastAsia="方正小标宋简体" w:cs="宋体"/>
          <w:bCs/>
          <w:color w:val="000000"/>
          <w:spacing w:val="5"/>
          <w:kern w:val="0"/>
          <w:sz w:val="44"/>
          <w:szCs w:val="44"/>
          <w:lang w:val="en-US" w:eastAsia="zh-CN"/>
        </w:rPr>
        <w:t>30</w:t>
      </w:r>
      <w:r>
        <w:rPr>
          <w:rFonts w:hint="eastAsia" w:ascii="方正小标宋简体" w:hAnsi="华文中宋" w:eastAsia="方正小标宋简体" w:cs="宋体"/>
          <w:bCs/>
          <w:color w:val="000000"/>
          <w:spacing w:val="5"/>
          <w:kern w:val="0"/>
          <w:sz w:val="44"/>
          <w:szCs w:val="44"/>
        </w:rPr>
        <w:t>年）</w:t>
      </w:r>
    </w:p>
    <w:p w14:paraId="58808552">
      <w:pPr>
        <w:keepNext w:val="0"/>
        <w:keepLines w:val="0"/>
        <w:pageBreakBefore w:val="0"/>
        <w:widowControl/>
        <w:shd w:val="clear" w:color="auto" w:fill="FFFFFF"/>
        <w:wordWrap/>
        <w:overflowPunct/>
        <w:topLinePunct w:val="0"/>
        <w:bidi w:val="0"/>
        <w:adjustRightInd w:val="0"/>
        <w:snapToGrid w:val="0"/>
        <w:spacing w:line="540" w:lineRule="exact"/>
        <w:jc w:val="center"/>
        <w:rPr>
          <w:rFonts w:hint="eastAsia" w:ascii="华文楷体" w:hAnsi="华文楷体" w:eastAsia="华文楷体" w:cs="华文楷体"/>
          <w:color w:val="000000"/>
          <w:spacing w:val="5"/>
          <w:kern w:val="0"/>
          <w:sz w:val="32"/>
          <w:szCs w:val="44"/>
        </w:rPr>
      </w:pPr>
      <w:r>
        <w:rPr>
          <w:rFonts w:hint="eastAsia" w:ascii="华文楷体" w:hAnsi="华文楷体" w:eastAsia="华文楷体" w:cs="华文楷体"/>
          <w:color w:val="000000"/>
          <w:spacing w:val="5"/>
          <w:kern w:val="0"/>
          <w:sz w:val="32"/>
          <w:szCs w:val="44"/>
        </w:rPr>
        <w:t>（</w:t>
      </w:r>
      <w:r>
        <w:rPr>
          <w:rFonts w:hint="eastAsia" w:ascii="华文楷体" w:hAnsi="华文楷体" w:eastAsia="华文楷体" w:cs="华文楷体"/>
          <w:color w:val="000000"/>
          <w:spacing w:val="5"/>
          <w:kern w:val="0"/>
          <w:sz w:val="32"/>
          <w:szCs w:val="44"/>
          <w:lang w:val="en-US" w:eastAsia="zh-CN"/>
        </w:rPr>
        <w:t>征求意见稿</w:t>
      </w:r>
      <w:r>
        <w:rPr>
          <w:rFonts w:hint="eastAsia" w:ascii="华文楷体" w:hAnsi="华文楷体" w:eastAsia="华文楷体" w:cs="华文楷体"/>
          <w:color w:val="000000"/>
          <w:spacing w:val="5"/>
          <w:kern w:val="0"/>
          <w:sz w:val="32"/>
          <w:szCs w:val="44"/>
        </w:rPr>
        <w:t>）</w:t>
      </w:r>
    </w:p>
    <w:p w14:paraId="2E54F31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Times New Roman"/>
          <w:snapToGrid/>
          <w:color w:val="000000"/>
          <w:kern w:val="2"/>
          <w:sz w:val="32"/>
          <w:szCs w:val="32"/>
          <w:lang w:eastAsia="zh-CN"/>
        </w:rPr>
      </w:pPr>
    </w:p>
    <w:p w14:paraId="75F6A23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为加快教育强</w:t>
      </w:r>
      <w:r>
        <w:rPr>
          <w:rFonts w:hint="eastAsia" w:ascii="仿宋_GB2312" w:hAnsi="仿宋" w:eastAsia="仿宋_GB2312" w:cs="Times New Roman"/>
          <w:snapToGrid/>
          <w:color w:val="000000"/>
          <w:kern w:val="2"/>
          <w:sz w:val="32"/>
          <w:szCs w:val="32"/>
          <w:lang w:val="en-US" w:eastAsia="zh-CN"/>
        </w:rPr>
        <w:t>市</w:t>
      </w:r>
      <w:r>
        <w:rPr>
          <w:rFonts w:hint="eastAsia" w:ascii="仿宋_GB2312" w:hAnsi="仿宋" w:eastAsia="仿宋_GB2312" w:cs="Times New Roman"/>
          <w:snapToGrid/>
          <w:color w:val="000000"/>
          <w:kern w:val="2"/>
          <w:sz w:val="32"/>
          <w:szCs w:val="32"/>
          <w:lang w:eastAsia="zh-CN"/>
        </w:rPr>
        <w:t>建设步伐，推动教育事业高质量发展，努力办好人民满意的教育，根据《教育强省建设规划纲要（2024—2035年）》《江西省“</w:t>
      </w:r>
      <w:r>
        <w:rPr>
          <w:rFonts w:hint="eastAsia" w:ascii="仿宋_GB2312" w:hAnsi="仿宋" w:eastAsia="仿宋_GB2312" w:cs="Times New Roman"/>
          <w:snapToGrid/>
          <w:color w:val="000000"/>
          <w:kern w:val="2"/>
          <w:sz w:val="32"/>
          <w:szCs w:val="32"/>
          <w:lang w:val="en-US" w:eastAsia="zh-CN"/>
        </w:rPr>
        <w:t>十五五”教育发展规划</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和《九江市国民经济和社会发展第十五个五年规划纲要》《关于推动九江教育高质量发展加快建设教育强市的实施意见》，</w:t>
      </w:r>
      <w:r>
        <w:rPr>
          <w:rFonts w:hint="eastAsia" w:ascii="仿宋_GB2312" w:hAnsi="仿宋" w:eastAsia="仿宋_GB2312" w:cs="Times New Roman"/>
          <w:snapToGrid/>
          <w:color w:val="000000"/>
          <w:kern w:val="2"/>
          <w:sz w:val="32"/>
          <w:szCs w:val="32"/>
          <w:lang w:eastAsia="zh-CN"/>
        </w:rPr>
        <w:t>制定本规划。</w:t>
      </w:r>
    </w:p>
    <w:p w14:paraId="718F436D">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黑体" w:hAnsi="黑体" w:eastAsia="黑体" w:cs="宋体"/>
          <w:bCs/>
          <w:snapToGrid/>
          <w:color w:val="000000"/>
          <w:kern w:val="0"/>
          <w:sz w:val="32"/>
          <w:szCs w:val="32"/>
          <w:lang w:eastAsia="zh-CN"/>
        </w:rPr>
      </w:pPr>
      <w:r>
        <w:rPr>
          <w:rFonts w:hint="eastAsia" w:ascii="黑体" w:hAnsi="黑体" w:eastAsia="黑体" w:cs="宋体"/>
          <w:bCs/>
          <w:snapToGrid/>
          <w:color w:val="000000"/>
          <w:kern w:val="0"/>
          <w:sz w:val="32"/>
          <w:szCs w:val="32"/>
          <w:lang w:eastAsia="zh-CN"/>
        </w:rPr>
        <w:t>一、发展基础</w:t>
      </w:r>
    </w:p>
    <w:p w14:paraId="6D7929C5">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楷体_GB2312" w:hAnsi="仿宋" w:eastAsia="楷体_GB2312" w:cs="宋体"/>
          <w:snapToGrid/>
          <w:color w:val="000000"/>
          <w:kern w:val="0"/>
          <w:sz w:val="32"/>
          <w:szCs w:val="32"/>
          <w:lang w:eastAsia="zh-CN"/>
        </w:rPr>
      </w:pPr>
      <w:r>
        <w:rPr>
          <w:rFonts w:hint="eastAsia" w:ascii="楷体_GB2312" w:hAnsi="仿宋" w:eastAsia="楷体_GB2312" w:cs="宋体"/>
          <w:snapToGrid/>
          <w:color w:val="000000"/>
          <w:kern w:val="0"/>
          <w:sz w:val="32"/>
          <w:szCs w:val="32"/>
          <w:lang w:eastAsia="zh-CN"/>
        </w:rPr>
        <w:t>（</w:t>
      </w:r>
      <w:r>
        <w:rPr>
          <w:rFonts w:hint="eastAsia" w:ascii="楷体_GB2312" w:hAnsi="仿宋" w:eastAsia="楷体_GB2312" w:cs="宋体"/>
          <w:snapToGrid/>
          <w:color w:val="000000"/>
          <w:kern w:val="0"/>
          <w:sz w:val="32"/>
          <w:szCs w:val="32"/>
          <w:lang w:val="en-US" w:eastAsia="zh-CN"/>
        </w:rPr>
        <w:t>一）</w:t>
      </w:r>
      <w:r>
        <w:rPr>
          <w:rFonts w:hint="eastAsia" w:ascii="楷体_GB2312" w:hAnsi="仿宋" w:eastAsia="楷体_GB2312" w:cs="宋体"/>
          <w:snapToGrid/>
          <w:color w:val="000000"/>
          <w:kern w:val="0"/>
          <w:sz w:val="32"/>
          <w:szCs w:val="32"/>
          <w:lang w:eastAsia="zh-CN"/>
        </w:rPr>
        <w:t>发展成就</w:t>
      </w:r>
    </w:p>
    <w:p w14:paraId="4453016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“十四五”时期，</w:t>
      </w:r>
      <w:r>
        <w:rPr>
          <w:rFonts w:hint="eastAsia" w:ascii="仿宋_GB2312" w:hAnsi="仿宋" w:eastAsia="仿宋_GB2312" w:cs="Times New Roman"/>
          <w:snapToGrid/>
          <w:color w:val="000000"/>
          <w:kern w:val="2"/>
          <w:sz w:val="32"/>
          <w:szCs w:val="32"/>
          <w:lang w:val="en-US" w:eastAsia="zh-CN"/>
        </w:rPr>
        <w:t>九江市委、市政府团结带领全市人民，</w:t>
      </w:r>
      <w:r>
        <w:rPr>
          <w:rFonts w:hint="eastAsia" w:ascii="仿宋_GB2312" w:hAnsi="仿宋" w:eastAsia="仿宋_GB2312" w:cs="Times New Roman"/>
          <w:snapToGrid/>
          <w:color w:val="000000"/>
          <w:kern w:val="2"/>
          <w:sz w:val="32"/>
          <w:szCs w:val="32"/>
          <w:lang w:eastAsia="zh-CN"/>
        </w:rPr>
        <w:t>坚持以习近平新时代中国特色社会主义思想为指导，全面贯彻党的教育方针，</w:t>
      </w:r>
      <w:r>
        <w:rPr>
          <w:rFonts w:hint="eastAsia" w:ascii="仿宋_GB2312" w:hAnsi="仿宋" w:eastAsia="仿宋_GB2312" w:cs="Times New Roman"/>
          <w:snapToGrid/>
          <w:color w:val="000000"/>
          <w:kern w:val="2"/>
          <w:sz w:val="32"/>
          <w:szCs w:val="32"/>
          <w:lang w:val="en-US" w:eastAsia="zh-CN"/>
        </w:rPr>
        <w:t>坚持教育</w:t>
      </w:r>
      <w:r>
        <w:rPr>
          <w:rFonts w:hint="eastAsia" w:ascii="仿宋_GB2312" w:hAnsi="仿宋" w:eastAsia="仿宋_GB2312" w:cs="Times New Roman"/>
          <w:snapToGrid/>
          <w:color w:val="000000"/>
          <w:kern w:val="2"/>
          <w:sz w:val="32"/>
          <w:szCs w:val="32"/>
          <w:lang w:eastAsia="zh-CN"/>
        </w:rPr>
        <w:t>优先发展，教育事业</w:t>
      </w:r>
      <w:r>
        <w:rPr>
          <w:rFonts w:hint="eastAsia" w:ascii="仿宋_GB2312" w:hAnsi="仿宋" w:eastAsia="仿宋_GB2312" w:cs="Times New Roman"/>
          <w:snapToGrid/>
          <w:color w:val="000000"/>
          <w:kern w:val="2"/>
          <w:sz w:val="32"/>
          <w:szCs w:val="32"/>
          <w:lang w:val="en-US" w:eastAsia="zh-CN"/>
        </w:rPr>
        <w:t>高质量</w:t>
      </w:r>
      <w:r>
        <w:rPr>
          <w:rFonts w:hint="eastAsia" w:ascii="仿宋_GB2312" w:hAnsi="仿宋" w:eastAsia="仿宋_GB2312" w:cs="Times New Roman"/>
          <w:snapToGrid/>
          <w:color w:val="000000"/>
          <w:kern w:val="2"/>
          <w:sz w:val="32"/>
          <w:szCs w:val="32"/>
          <w:lang w:eastAsia="zh-CN"/>
        </w:rPr>
        <w:t>发展，为“十五五”教育事业发展奠定坚实基础。</w:t>
      </w:r>
    </w:p>
    <w:p w14:paraId="1A612D9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一是立德树人</w:t>
      </w:r>
      <w:r>
        <w:rPr>
          <w:rFonts w:hint="eastAsia" w:ascii="仿宋_GB2312" w:hAnsi="仿宋" w:eastAsia="仿宋_GB2312" w:cs="Times New Roman"/>
          <w:b/>
          <w:bCs/>
          <w:snapToGrid/>
          <w:color w:val="000000"/>
          <w:kern w:val="2"/>
          <w:sz w:val="32"/>
          <w:szCs w:val="32"/>
          <w:lang w:val="en-US" w:eastAsia="zh-CN"/>
        </w:rPr>
        <w:t>工程取得新</w:t>
      </w:r>
      <w:r>
        <w:rPr>
          <w:rFonts w:hint="eastAsia" w:ascii="仿宋_GB2312" w:hAnsi="仿宋" w:eastAsia="仿宋_GB2312" w:cs="Times New Roman"/>
          <w:b/>
          <w:bCs/>
          <w:snapToGrid/>
          <w:color w:val="000000"/>
          <w:kern w:val="2"/>
          <w:sz w:val="32"/>
          <w:szCs w:val="32"/>
          <w:lang w:eastAsia="zh-CN"/>
        </w:rPr>
        <w:t>成效。</w:t>
      </w:r>
      <w:r>
        <w:rPr>
          <w:rFonts w:hint="eastAsia" w:ascii="仿宋_GB2312" w:hAnsi="仿宋" w:eastAsia="仿宋_GB2312" w:cs="Times New Roman"/>
          <w:snapToGrid/>
          <w:color w:val="000000"/>
          <w:kern w:val="2"/>
          <w:sz w:val="32"/>
          <w:szCs w:val="32"/>
          <w:lang w:val="en-US" w:eastAsia="zh-CN"/>
        </w:rPr>
        <w:t>统筹推进大中小学思政课一体化建设，建成思政名师工作室28个。深化红色文化铸魂育人，打造红色教育基地35个。全面推进</w:t>
      </w:r>
      <w:r>
        <w:rPr>
          <w:rFonts w:hint="eastAsia" w:ascii="仿宋_GB2312" w:hAnsi="仿宋" w:eastAsia="仿宋_GB2312" w:cs="Times New Roman"/>
          <w:snapToGrid/>
          <w:color w:val="000000"/>
          <w:kern w:val="2"/>
          <w:sz w:val="32"/>
          <w:szCs w:val="32"/>
          <w:lang w:eastAsia="zh-CN"/>
        </w:rPr>
        <w:t>“五育并举”，</w:t>
      </w:r>
      <w:r>
        <w:rPr>
          <w:rFonts w:hint="eastAsia" w:ascii="仿宋_GB2312" w:hAnsi="仿宋" w:eastAsia="仿宋_GB2312" w:cs="Times New Roman"/>
          <w:snapToGrid/>
          <w:color w:val="000000"/>
          <w:kern w:val="2"/>
          <w:sz w:val="32"/>
          <w:szCs w:val="32"/>
          <w:lang w:val="en-US" w:eastAsia="zh-CN"/>
        </w:rPr>
        <w:t>创建国家级、省级各类示范校特色校292所。创新校家社协同育人机制，</w:t>
      </w:r>
      <w:r>
        <w:rPr>
          <w:rFonts w:hint="eastAsia" w:ascii="仿宋_GB2312" w:hAnsi="仿宋" w:eastAsia="仿宋_GB2312" w:cs="Times New Roman"/>
          <w:snapToGrid/>
          <w:color w:val="000000"/>
          <w:kern w:val="2"/>
          <w:sz w:val="32"/>
          <w:szCs w:val="32"/>
          <w:lang w:eastAsia="zh-CN"/>
        </w:rPr>
        <w:t>实现教联体全域覆盖，促进学生健康成长、全面发展。</w:t>
      </w:r>
    </w:p>
    <w:p w14:paraId="72401FD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eastAsia="zh-CN"/>
        </w:rPr>
        <w:t>二是</w:t>
      </w:r>
      <w:r>
        <w:rPr>
          <w:rFonts w:hint="eastAsia" w:ascii="仿宋_GB2312" w:hAnsi="仿宋" w:eastAsia="仿宋_GB2312" w:cs="Times New Roman"/>
          <w:b/>
          <w:bCs/>
          <w:snapToGrid/>
          <w:color w:val="000000"/>
          <w:kern w:val="2"/>
          <w:sz w:val="32"/>
          <w:szCs w:val="32"/>
          <w:lang w:val="en-US" w:eastAsia="zh-CN"/>
        </w:rPr>
        <w:t>教育发展水平迈上新台阶</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稳步推行免费学前教育，5个县获评“国家学前教育普及普惠县”，学前教育普惠优质成效显著。</w:t>
      </w:r>
      <w:r>
        <w:rPr>
          <w:rFonts w:hint="eastAsia" w:ascii="仿宋_GB2312" w:hAnsi="仿宋" w:eastAsia="仿宋_GB2312" w:cs="Times New Roman"/>
          <w:snapToGrid/>
          <w:color w:val="auto"/>
          <w:kern w:val="2"/>
          <w:sz w:val="32"/>
          <w:szCs w:val="32"/>
          <w:lang w:val="en-US" w:eastAsia="zh-CN"/>
        </w:rPr>
        <w:t>有序优化乡村义务教育校点布局，整合撤并乡村小规模学校810所，3个县获评“国家义务教育优质均衡发展县”。高中教育特色发展成效突出，建成省级、市级特色高中17</w:t>
      </w:r>
      <w:r>
        <w:rPr>
          <w:rFonts w:hint="eastAsia" w:ascii="仿宋_GB2312" w:hAnsi="仿宋" w:eastAsia="仿宋_GB2312" w:cs="Times New Roman"/>
          <w:snapToGrid/>
          <w:color w:val="000000"/>
          <w:kern w:val="2"/>
          <w:sz w:val="32"/>
          <w:szCs w:val="32"/>
          <w:lang w:val="en-US" w:eastAsia="zh-CN"/>
        </w:rPr>
        <w:t>所。职业教育实力明显增强，2所高职院校升格本科，新增高职院校1所。高等教育提质扩容，毛入学率达</w:t>
      </w:r>
      <w:r>
        <w:rPr>
          <w:rFonts w:hint="eastAsia" w:ascii="仿宋_GB2312" w:hAnsi="仿宋" w:eastAsia="仿宋_GB2312" w:cs="Times New Roman"/>
          <w:strike w:val="0"/>
          <w:snapToGrid/>
          <w:color w:val="000000"/>
          <w:kern w:val="2"/>
          <w:sz w:val="32"/>
          <w:szCs w:val="32"/>
          <w:lang w:val="en-US" w:eastAsia="zh-CN"/>
        </w:rPr>
        <w:t>64.85%</w:t>
      </w:r>
      <w:r>
        <w:rPr>
          <w:rFonts w:hint="eastAsia" w:ascii="仿宋_GB2312" w:hAnsi="仿宋" w:eastAsia="仿宋_GB2312" w:cs="Times New Roman"/>
          <w:snapToGrid/>
          <w:color w:val="000000"/>
          <w:kern w:val="2"/>
          <w:sz w:val="32"/>
          <w:szCs w:val="32"/>
          <w:lang w:val="en-US" w:eastAsia="zh-CN"/>
        </w:rPr>
        <w:t>，建成省级以上科创平台10家，九江学院获批硕士学位授予单位，服务地方经济社会发展能力持续增强。</w:t>
      </w:r>
    </w:p>
    <w:p w14:paraId="1A7E1DC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三</w:t>
      </w:r>
      <w:r>
        <w:rPr>
          <w:rFonts w:hint="eastAsia" w:ascii="仿宋_GB2312" w:hAnsi="仿宋" w:eastAsia="仿宋_GB2312" w:cs="Times New Roman"/>
          <w:b/>
          <w:bCs/>
          <w:snapToGrid/>
          <w:color w:val="000000"/>
          <w:kern w:val="2"/>
          <w:sz w:val="32"/>
          <w:szCs w:val="32"/>
          <w:lang w:eastAsia="zh-CN"/>
        </w:rPr>
        <w:t>是教育综合改革取得新进展。</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双减”政策落地见效，</w:t>
      </w:r>
      <w:r>
        <w:rPr>
          <w:rFonts w:hint="eastAsia" w:ascii="仿宋_GB2312" w:hAnsi="仿宋" w:eastAsia="仿宋_GB2312" w:cs="Times New Roman"/>
          <w:strike w:val="0"/>
          <w:snapToGrid/>
          <w:kern w:val="2"/>
          <w:sz w:val="32"/>
          <w:szCs w:val="32"/>
          <w:lang w:eastAsia="zh-CN"/>
        </w:rPr>
        <w:t>教育部推介校外教育培训监管“九江做法”</w:t>
      </w:r>
      <w:r>
        <w:rPr>
          <w:rFonts w:hint="eastAsia" w:ascii="仿宋_GB2312" w:hAnsi="仿宋" w:eastAsia="仿宋_GB2312" w:cs="Times New Roman"/>
          <w:snapToGrid/>
          <w:color w:val="000000"/>
          <w:kern w:val="2"/>
          <w:sz w:val="32"/>
          <w:szCs w:val="32"/>
          <w:lang w:val="en-US" w:eastAsia="zh-CN"/>
        </w:rPr>
        <w:t>。义务教育入学“网上办”，起始年级随机均衡编班，实现“零择班”。全面落实普通高中属地招生。聚焦校园餐、教辅、校服等领域专项治理，“浔HUI学”教辅整治特色品牌经验全省推广。</w:t>
      </w:r>
    </w:p>
    <w:p w14:paraId="4408B00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四是教育保障能力取得新提升。</w:t>
      </w:r>
      <w:r>
        <w:rPr>
          <w:rFonts w:hint="eastAsia" w:ascii="仿宋_GB2312" w:hAnsi="仿宋" w:eastAsia="仿宋_GB2312" w:cs="Times New Roman"/>
          <w:snapToGrid/>
          <w:color w:val="000000"/>
          <w:kern w:val="2"/>
          <w:sz w:val="32"/>
          <w:szCs w:val="32"/>
          <w:lang w:val="en-US" w:eastAsia="zh-CN"/>
        </w:rPr>
        <w:t>党的领导全面加强，527所中小学党组织领导的校长负责制实现全覆盖。5年累计投入资金730.23亿元，办学条件明显改善，新增学位4.8万个，入选全国人工智能赋能教育试点城市。建强建优教师队伍，全市引进教师9398人，建立名师工作室205个。深入推进护校安园、防欺凌、防溺水等安全治理。</w:t>
      </w:r>
    </w:p>
    <w:p w14:paraId="24774CB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“十四五” 期间，九江教育事业</w:t>
      </w:r>
      <w:r>
        <w:rPr>
          <w:rFonts w:hint="eastAsia" w:ascii="仿宋_GB2312" w:hAnsi="仿宋" w:eastAsia="仿宋_GB2312" w:cs="Times New Roman"/>
          <w:snapToGrid/>
          <w:color w:val="000000"/>
          <w:kern w:val="2"/>
          <w:sz w:val="32"/>
          <w:szCs w:val="32"/>
          <w:lang w:val="en-US" w:eastAsia="zh-CN"/>
        </w:rPr>
        <w:t>发展成效显著</w:t>
      </w:r>
      <w:r>
        <w:rPr>
          <w:rFonts w:hint="eastAsia" w:ascii="仿宋_GB2312" w:hAnsi="仿宋" w:eastAsia="仿宋_GB2312" w:cs="Times New Roman"/>
          <w:snapToGrid/>
          <w:color w:val="000000"/>
          <w:kern w:val="2"/>
          <w:sz w:val="32"/>
          <w:szCs w:val="32"/>
          <w:lang w:eastAsia="zh-CN"/>
        </w:rPr>
        <w:t>，但</w:t>
      </w:r>
      <w:r>
        <w:rPr>
          <w:rFonts w:hint="eastAsia" w:ascii="仿宋_GB2312" w:hAnsi="仿宋" w:eastAsia="仿宋_GB2312" w:cs="Times New Roman"/>
          <w:snapToGrid/>
          <w:color w:val="000000"/>
          <w:kern w:val="2"/>
          <w:sz w:val="32"/>
          <w:szCs w:val="32"/>
          <w:lang w:val="en-US" w:eastAsia="zh-CN"/>
        </w:rPr>
        <w:t>面对</w:t>
      </w:r>
      <w:r>
        <w:rPr>
          <w:rFonts w:hint="eastAsia" w:ascii="仿宋_GB2312" w:hAnsi="仿宋" w:eastAsia="仿宋_GB2312" w:cs="Times New Roman"/>
          <w:snapToGrid/>
          <w:color w:val="000000"/>
          <w:kern w:val="2"/>
          <w:sz w:val="32"/>
          <w:szCs w:val="32"/>
          <w:lang w:eastAsia="zh-CN"/>
        </w:rPr>
        <w:t>新时代新形势新要求，与教育强市</w:t>
      </w:r>
      <w:r>
        <w:rPr>
          <w:rFonts w:hint="eastAsia" w:ascii="仿宋_GB2312" w:hAnsi="仿宋" w:eastAsia="仿宋_GB2312" w:cs="Times New Roman"/>
          <w:snapToGrid/>
          <w:color w:val="000000"/>
          <w:kern w:val="2"/>
          <w:sz w:val="32"/>
          <w:szCs w:val="32"/>
          <w:lang w:val="en-US" w:eastAsia="zh-CN"/>
        </w:rPr>
        <w:t>战略要求和人</w:t>
      </w:r>
      <w:r>
        <w:rPr>
          <w:rFonts w:hint="eastAsia" w:ascii="仿宋_GB2312" w:hAnsi="仿宋" w:eastAsia="仿宋_GB2312" w:cs="Times New Roman"/>
          <w:snapToGrid/>
          <w:color w:val="000000"/>
          <w:kern w:val="2"/>
          <w:sz w:val="32"/>
          <w:szCs w:val="32"/>
          <w:lang w:eastAsia="zh-CN"/>
        </w:rPr>
        <w:t>民群众</w:t>
      </w:r>
      <w:r>
        <w:rPr>
          <w:rFonts w:hint="eastAsia" w:ascii="仿宋_GB2312" w:hAnsi="仿宋" w:eastAsia="仿宋_GB2312" w:cs="Times New Roman"/>
          <w:snapToGrid/>
          <w:color w:val="000000"/>
          <w:kern w:val="2"/>
          <w:sz w:val="32"/>
          <w:szCs w:val="32"/>
          <w:lang w:val="en-US" w:eastAsia="zh-CN"/>
        </w:rPr>
        <w:t>对优质教育的</w:t>
      </w:r>
      <w:r>
        <w:rPr>
          <w:rFonts w:hint="eastAsia" w:ascii="仿宋_GB2312" w:hAnsi="仿宋" w:eastAsia="仿宋_GB2312" w:cs="Times New Roman"/>
          <w:snapToGrid/>
          <w:color w:val="000000"/>
          <w:kern w:val="2"/>
          <w:sz w:val="32"/>
          <w:szCs w:val="32"/>
          <w:lang w:eastAsia="zh-CN"/>
        </w:rPr>
        <w:t>期盼</w:t>
      </w:r>
      <w:r>
        <w:rPr>
          <w:rFonts w:hint="eastAsia" w:ascii="仿宋_GB2312" w:hAnsi="仿宋" w:eastAsia="仿宋_GB2312" w:cs="Times New Roman"/>
          <w:snapToGrid/>
          <w:color w:val="000000"/>
          <w:kern w:val="2"/>
          <w:sz w:val="32"/>
          <w:szCs w:val="32"/>
          <w:lang w:val="en-US" w:eastAsia="zh-CN"/>
        </w:rPr>
        <w:t>仍有差距</w:t>
      </w:r>
      <w:r>
        <w:rPr>
          <w:rFonts w:hint="eastAsia" w:ascii="仿宋_GB2312" w:hAnsi="仿宋" w:eastAsia="仿宋_GB2312" w:cs="Times New Roman"/>
          <w:snapToGrid/>
          <w:color w:val="000000"/>
          <w:kern w:val="2"/>
          <w:sz w:val="32"/>
          <w:szCs w:val="32"/>
          <w:lang w:eastAsia="zh-CN"/>
        </w:rPr>
        <w:t>。基础教育优质资源供给不</w:t>
      </w:r>
      <w:r>
        <w:rPr>
          <w:rFonts w:hint="eastAsia" w:ascii="仿宋_GB2312" w:hAnsi="仿宋" w:eastAsia="仿宋_GB2312" w:cs="Times New Roman"/>
          <w:snapToGrid/>
          <w:color w:val="000000"/>
          <w:kern w:val="2"/>
          <w:sz w:val="32"/>
          <w:szCs w:val="32"/>
          <w:lang w:val="en-US" w:eastAsia="zh-CN"/>
        </w:rPr>
        <w:t>足</w:t>
      </w:r>
      <w:r>
        <w:rPr>
          <w:rFonts w:hint="eastAsia" w:ascii="仿宋_GB2312" w:hAnsi="仿宋" w:eastAsia="仿宋_GB2312" w:cs="Times New Roman"/>
          <w:snapToGrid/>
          <w:color w:val="000000"/>
          <w:kern w:val="2"/>
          <w:sz w:val="32"/>
          <w:szCs w:val="32"/>
          <w:lang w:eastAsia="zh-CN"/>
        </w:rPr>
        <w:t>，职业教育产教融合不</w:t>
      </w:r>
      <w:r>
        <w:rPr>
          <w:rFonts w:hint="eastAsia" w:ascii="仿宋_GB2312" w:hAnsi="仿宋" w:eastAsia="仿宋_GB2312" w:cs="Times New Roman"/>
          <w:snapToGrid/>
          <w:color w:val="000000"/>
          <w:kern w:val="2"/>
          <w:sz w:val="32"/>
          <w:szCs w:val="32"/>
          <w:lang w:val="en-US" w:eastAsia="zh-CN"/>
        </w:rPr>
        <w:t>深</w:t>
      </w:r>
      <w:r>
        <w:rPr>
          <w:rFonts w:hint="eastAsia" w:ascii="仿宋_GB2312" w:hAnsi="仿宋" w:eastAsia="仿宋_GB2312" w:cs="Times New Roman"/>
          <w:snapToGrid/>
          <w:color w:val="000000"/>
          <w:kern w:val="2"/>
          <w:sz w:val="32"/>
          <w:szCs w:val="32"/>
          <w:lang w:eastAsia="zh-CN"/>
        </w:rPr>
        <w:t>，高等教育</w:t>
      </w:r>
      <w:r>
        <w:rPr>
          <w:rFonts w:hint="eastAsia" w:ascii="仿宋_GB2312" w:hAnsi="仿宋" w:eastAsia="仿宋_GB2312" w:cs="Times New Roman"/>
          <w:snapToGrid/>
          <w:color w:val="000000"/>
          <w:kern w:val="2"/>
          <w:sz w:val="32"/>
          <w:szCs w:val="32"/>
          <w:lang w:val="en-US" w:eastAsia="zh-CN"/>
        </w:rPr>
        <w:t>综合</w:t>
      </w:r>
      <w:r>
        <w:rPr>
          <w:rFonts w:hint="eastAsia" w:ascii="仿宋_GB2312" w:hAnsi="仿宋" w:eastAsia="仿宋_GB2312" w:cs="Times New Roman"/>
          <w:snapToGrid/>
          <w:color w:val="000000"/>
          <w:kern w:val="2"/>
          <w:sz w:val="32"/>
          <w:szCs w:val="32"/>
          <w:lang w:eastAsia="zh-CN"/>
        </w:rPr>
        <w:t>实力</w:t>
      </w:r>
      <w:r>
        <w:rPr>
          <w:rFonts w:hint="eastAsia" w:ascii="仿宋_GB2312" w:hAnsi="仿宋" w:eastAsia="仿宋_GB2312" w:cs="Times New Roman"/>
          <w:snapToGrid/>
          <w:color w:val="000000"/>
          <w:kern w:val="2"/>
          <w:sz w:val="32"/>
          <w:szCs w:val="32"/>
          <w:lang w:val="en-US" w:eastAsia="zh-CN"/>
        </w:rPr>
        <w:t>不强</w:t>
      </w:r>
      <w:r>
        <w:rPr>
          <w:rFonts w:hint="eastAsia" w:ascii="仿宋_GB2312" w:hAnsi="仿宋" w:eastAsia="仿宋_GB2312" w:cs="Times New Roman"/>
          <w:snapToGrid/>
          <w:color w:val="000000"/>
          <w:kern w:val="2"/>
          <w:sz w:val="32"/>
          <w:szCs w:val="32"/>
          <w:lang w:eastAsia="zh-CN"/>
        </w:rPr>
        <w:t>，教育服务</w:t>
      </w:r>
      <w:r>
        <w:rPr>
          <w:rFonts w:hint="eastAsia" w:ascii="仿宋_GB2312" w:hAnsi="仿宋" w:eastAsia="仿宋_GB2312" w:cs="Times New Roman"/>
          <w:snapToGrid/>
          <w:color w:val="000000"/>
          <w:kern w:val="2"/>
          <w:sz w:val="32"/>
          <w:szCs w:val="32"/>
          <w:lang w:val="en-US" w:eastAsia="zh-CN"/>
        </w:rPr>
        <w:t>经济社会</w:t>
      </w:r>
      <w:r>
        <w:rPr>
          <w:rFonts w:hint="eastAsia" w:ascii="仿宋_GB2312" w:hAnsi="仿宋" w:eastAsia="仿宋_GB2312" w:cs="Times New Roman"/>
          <w:snapToGrid/>
          <w:color w:val="000000"/>
          <w:kern w:val="2"/>
          <w:sz w:val="32"/>
          <w:szCs w:val="32"/>
          <w:lang w:eastAsia="zh-CN"/>
        </w:rPr>
        <w:t>发展能力亟待提</w:t>
      </w:r>
      <w:r>
        <w:rPr>
          <w:rFonts w:hint="eastAsia" w:ascii="仿宋_GB2312" w:hAnsi="仿宋" w:eastAsia="仿宋_GB2312" w:cs="Times New Roman"/>
          <w:snapToGrid/>
          <w:color w:val="000000"/>
          <w:kern w:val="2"/>
          <w:sz w:val="32"/>
          <w:szCs w:val="32"/>
          <w:lang w:val="en-US" w:eastAsia="zh-CN"/>
        </w:rPr>
        <w:t>高</w:t>
      </w:r>
      <w:r>
        <w:rPr>
          <w:rFonts w:hint="eastAsia" w:ascii="仿宋_GB2312" w:hAnsi="仿宋" w:eastAsia="仿宋_GB2312" w:cs="Times New Roman"/>
          <w:snapToGrid/>
          <w:color w:val="000000"/>
          <w:kern w:val="2"/>
          <w:sz w:val="32"/>
          <w:szCs w:val="32"/>
          <w:lang w:eastAsia="zh-CN"/>
        </w:rPr>
        <w:t>，教育治理能力</w:t>
      </w:r>
      <w:r>
        <w:rPr>
          <w:rFonts w:hint="eastAsia" w:ascii="仿宋_GB2312" w:hAnsi="仿宋" w:eastAsia="仿宋_GB2312" w:cs="Times New Roman"/>
          <w:snapToGrid/>
          <w:color w:val="000000"/>
          <w:kern w:val="2"/>
          <w:sz w:val="32"/>
          <w:szCs w:val="32"/>
          <w:lang w:val="en-US" w:eastAsia="zh-CN"/>
        </w:rPr>
        <w:t>和水平</w:t>
      </w:r>
      <w:r>
        <w:rPr>
          <w:rFonts w:hint="eastAsia" w:ascii="仿宋_GB2312" w:hAnsi="仿宋" w:eastAsia="仿宋_GB2312" w:cs="Times New Roman"/>
          <w:snapToGrid/>
          <w:color w:val="000000"/>
          <w:kern w:val="2"/>
          <w:sz w:val="32"/>
          <w:szCs w:val="32"/>
          <w:lang w:eastAsia="zh-CN"/>
        </w:rPr>
        <w:t>仍需加强。</w:t>
      </w:r>
    </w:p>
    <w:p w14:paraId="4D30D54F">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楷体_GB2312" w:hAnsi="仿宋" w:eastAsia="楷体_GB2312" w:cs="宋体"/>
          <w:snapToGrid/>
          <w:color w:val="000000"/>
          <w:kern w:val="0"/>
          <w:sz w:val="32"/>
          <w:szCs w:val="32"/>
          <w:lang w:eastAsia="zh-CN"/>
        </w:rPr>
      </w:pPr>
      <w:r>
        <w:rPr>
          <w:rFonts w:hint="eastAsia" w:ascii="楷体_GB2312" w:hAnsi="仿宋" w:eastAsia="楷体_GB2312" w:cs="宋体"/>
          <w:snapToGrid/>
          <w:color w:val="000000"/>
          <w:kern w:val="0"/>
          <w:sz w:val="32"/>
          <w:szCs w:val="32"/>
          <w:lang w:eastAsia="zh-CN"/>
        </w:rPr>
        <w:t>（二）发展形势</w:t>
      </w:r>
    </w:p>
    <w:p w14:paraId="765959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“十五五”时期是基本实现社会主义现代化的关键时期，必须科学把握时代大势，全力推动教育高质量发展，为奋力谱写中国式现代化九江篇章贡献力量。</w:t>
      </w:r>
    </w:p>
    <w:p w14:paraId="0F5C8F6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一是</w:t>
      </w:r>
      <w:r>
        <w:rPr>
          <w:rFonts w:hint="eastAsia" w:ascii="仿宋_GB2312" w:hAnsi="仿宋" w:eastAsia="仿宋_GB2312" w:cs="Times New Roman"/>
          <w:b/>
          <w:bCs/>
          <w:snapToGrid/>
          <w:kern w:val="2"/>
          <w:sz w:val="32"/>
          <w:szCs w:val="32"/>
          <w:lang w:eastAsia="zh-CN"/>
        </w:rPr>
        <w:t>科学研判人口变化趋势，优化基础教育资源配置。</w:t>
      </w:r>
      <w:r>
        <w:rPr>
          <w:rFonts w:hint="eastAsia" w:ascii="仿宋_GB2312" w:hAnsi="仿宋" w:eastAsia="仿宋_GB2312" w:cs="Times New Roman"/>
          <w:snapToGrid/>
          <w:kern w:val="2"/>
          <w:sz w:val="32"/>
          <w:szCs w:val="32"/>
          <w:lang w:eastAsia="zh-CN"/>
        </w:rPr>
        <w:t>面对出生人口下降、学龄人口变化、城乡分布不均等结构性矛盾，需要持续优化要素配置，完善适应学龄人口变化的前瞻布局。</w:t>
      </w:r>
    </w:p>
    <w:p w14:paraId="0407F77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kern w:val="2"/>
          <w:sz w:val="32"/>
          <w:szCs w:val="32"/>
          <w:lang w:eastAsia="zh-CN"/>
        </w:rPr>
      </w:pPr>
      <w:r>
        <w:rPr>
          <w:rFonts w:hint="eastAsia" w:ascii="仿宋_GB2312" w:hAnsi="仿宋" w:eastAsia="仿宋_GB2312" w:cs="Times New Roman"/>
          <w:b/>
          <w:bCs/>
          <w:snapToGrid/>
          <w:kern w:val="2"/>
          <w:sz w:val="32"/>
          <w:szCs w:val="32"/>
          <w:lang w:val="en-US" w:eastAsia="zh-CN"/>
        </w:rPr>
        <w:t>二是</w:t>
      </w:r>
      <w:r>
        <w:rPr>
          <w:rFonts w:hint="eastAsia" w:ascii="仿宋_GB2312" w:hAnsi="仿宋" w:eastAsia="仿宋_GB2312" w:cs="Times New Roman"/>
          <w:b/>
          <w:bCs/>
          <w:snapToGrid/>
          <w:kern w:val="2"/>
          <w:sz w:val="32"/>
          <w:szCs w:val="32"/>
          <w:lang w:eastAsia="zh-CN"/>
        </w:rPr>
        <w:t>深刻把握发展阶段变化，增强职业教育培养实效。</w:t>
      </w:r>
      <w:r>
        <w:rPr>
          <w:rFonts w:hint="eastAsia" w:ascii="仿宋_GB2312" w:hAnsi="仿宋" w:eastAsia="仿宋_GB2312" w:cs="Times New Roman"/>
          <w:snapToGrid/>
          <w:kern w:val="2"/>
          <w:sz w:val="32"/>
          <w:szCs w:val="32"/>
          <w:lang w:eastAsia="zh-CN"/>
        </w:rPr>
        <w:t>面对传统产业转型升级、新兴产业和未来产业培育壮大，构建九江特色产业体系，需要深化产教融合，培育高素质产业工人大军。</w:t>
      </w:r>
    </w:p>
    <w:p w14:paraId="005E686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kern w:val="2"/>
          <w:sz w:val="32"/>
          <w:szCs w:val="32"/>
          <w:lang w:eastAsia="zh-CN"/>
        </w:rPr>
      </w:pPr>
      <w:r>
        <w:rPr>
          <w:rFonts w:hint="eastAsia" w:ascii="仿宋_GB2312" w:hAnsi="仿宋" w:eastAsia="仿宋_GB2312" w:cs="Times New Roman"/>
          <w:b/>
          <w:bCs/>
          <w:snapToGrid/>
          <w:kern w:val="2"/>
          <w:sz w:val="32"/>
          <w:szCs w:val="32"/>
          <w:lang w:val="en-US" w:eastAsia="zh-CN"/>
        </w:rPr>
        <w:t>三是</w:t>
      </w:r>
      <w:r>
        <w:rPr>
          <w:rFonts w:hint="eastAsia" w:ascii="仿宋_GB2312" w:hAnsi="仿宋" w:eastAsia="仿宋_GB2312" w:cs="Times New Roman"/>
          <w:b/>
          <w:bCs/>
          <w:snapToGrid/>
          <w:kern w:val="2"/>
          <w:sz w:val="32"/>
          <w:szCs w:val="32"/>
          <w:lang w:eastAsia="zh-CN"/>
        </w:rPr>
        <w:t>主动应对发展动力变化，提升高等教育支撑服务效能。</w:t>
      </w:r>
      <w:r>
        <w:rPr>
          <w:rFonts w:hint="eastAsia" w:ascii="仿宋_GB2312" w:hAnsi="仿宋" w:eastAsia="仿宋_GB2312" w:cs="Times New Roman"/>
          <w:snapToGrid/>
          <w:kern w:val="2"/>
          <w:sz w:val="32"/>
          <w:szCs w:val="32"/>
          <w:lang w:eastAsia="zh-CN"/>
        </w:rPr>
        <w:t>紧扣新质生产力</w:t>
      </w:r>
      <w:r>
        <w:rPr>
          <w:rFonts w:hint="eastAsia" w:ascii="仿宋_GB2312" w:hAnsi="仿宋" w:eastAsia="仿宋_GB2312" w:cs="Times New Roman"/>
          <w:snapToGrid/>
          <w:kern w:val="2"/>
          <w:sz w:val="32"/>
          <w:szCs w:val="32"/>
          <w:lang w:val="en-US" w:eastAsia="zh-CN"/>
        </w:rPr>
        <w:t>培育</w:t>
      </w:r>
      <w:r>
        <w:rPr>
          <w:rFonts w:hint="eastAsia" w:ascii="仿宋_GB2312" w:hAnsi="仿宋" w:eastAsia="仿宋_GB2312" w:cs="Times New Roman"/>
          <w:snapToGrid/>
          <w:kern w:val="2"/>
          <w:sz w:val="32"/>
          <w:szCs w:val="32"/>
          <w:lang w:eastAsia="zh-CN"/>
        </w:rPr>
        <w:t>，推动高等教育与</w:t>
      </w:r>
      <w:r>
        <w:rPr>
          <w:rFonts w:hint="eastAsia" w:ascii="仿宋_GB2312" w:hAnsi="仿宋" w:eastAsia="仿宋_GB2312" w:cs="Times New Roman"/>
          <w:snapToGrid/>
          <w:kern w:val="2"/>
          <w:sz w:val="32"/>
          <w:szCs w:val="32"/>
          <w:lang w:val="en-US" w:eastAsia="zh-CN"/>
        </w:rPr>
        <w:t>创新驱动</w:t>
      </w:r>
      <w:r>
        <w:rPr>
          <w:rFonts w:hint="eastAsia" w:ascii="仿宋_GB2312" w:hAnsi="仿宋" w:eastAsia="仿宋_GB2312" w:cs="Times New Roman"/>
          <w:snapToGrid/>
          <w:kern w:val="2"/>
          <w:sz w:val="32"/>
          <w:szCs w:val="32"/>
          <w:lang w:eastAsia="zh-CN"/>
        </w:rPr>
        <w:t>深度适配，着力形成校城互促的格局，切实把高等教育</w:t>
      </w:r>
      <w:r>
        <w:rPr>
          <w:rFonts w:hint="eastAsia" w:ascii="仿宋_GB2312" w:hAnsi="仿宋" w:eastAsia="仿宋_GB2312" w:cs="Times New Roman"/>
          <w:snapToGrid/>
          <w:kern w:val="2"/>
          <w:sz w:val="32"/>
          <w:szCs w:val="32"/>
          <w:lang w:val="en-US" w:eastAsia="zh-CN"/>
        </w:rPr>
        <w:t>禀赋</w:t>
      </w:r>
      <w:r>
        <w:rPr>
          <w:rFonts w:hint="eastAsia" w:ascii="仿宋_GB2312" w:hAnsi="仿宋" w:eastAsia="仿宋_GB2312" w:cs="Times New Roman"/>
          <w:snapToGrid/>
          <w:kern w:val="2"/>
          <w:sz w:val="32"/>
          <w:szCs w:val="32"/>
          <w:lang w:eastAsia="zh-CN"/>
        </w:rPr>
        <w:t>转化为城市发展动能。</w:t>
      </w:r>
    </w:p>
    <w:p w14:paraId="02F8E87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kern w:val="2"/>
          <w:sz w:val="32"/>
          <w:szCs w:val="32"/>
          <w:lang w:val="en-US" w:eastAsia="zh-CN"/>
        </w:rPr>
        <w:t>四是</w:t>
      </w:r>
      <w:r>
        <w:rPr>
          <w:rFonts w:hint="eastAsia" w:ascii="仿宋_GB2312" w:hAnsi="仿宋" w:eastAsia="仿宋_GB2312" w:cs="Times New Roman"/>
          <w:b/>
          <w:bCs/>
          <w:snapToGrid/>
          <w:kern w:val="2"/>
          <w:sz w:val="32"/>
          <w:szCs w:val="32"/>
          <w:lang w:eastAsia="zh-CN"/>
        </w:rPr>
        <w:t>顺应教育数智化变革，赋能教育治理创新提质增效。</w:t>
      </w:r>
      <w:r>
        <w:rPr>
          <w:rFonts w:hint="eastAsia" w:ascii="仿宋_GB2312" w:hAnsi="仿宋" w:eastAsia="仿宋_GB2312" w:cs="Times New Roman"/>
          <w:snapToGrid/>
          <w:kern w:val="2"/>
          <w:sz w:val="32"/>
          <w:szCs w:val="32"/>
          <w:lang w:eastAsia="zh-CN"/>
        </w:rPr>
        <w:t>推动教育理念、培养模式、科研范式深层次变革，需要深入落实国家教育数字化战略行动，推动教育数智化变革落地见效。</w:t>
      </w:r>
    </w:p>
    <w:p w14:paraId="02CB51B3">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黑体" w:hAnsi="黑体" w:eastAsia="黑体" w:cs="宋体"/>
          <w:bCs/>
          <w:snapToGrid/>
          <w:color w:val="000000"/>
          <w:kern w:val="0"/>
          <w:sz w:val="32"/>
          <w:szCs w:val="32"/>
          <w:lang w:eastAsia="zh-CN"/>
        </w:rPr>
      </w:pPr>
      <w:r>
        <w:rPr>
          <w:rFonts w:hint="eastAsia" w:ascii="黑体" w:hAnsi="黑体" w:eastAsia="黑体" w:cs="宋体"/>
          <w:bCs/>
          <w:snapToGrid/>
          <w:color w:val="000000"/>
          <w:kern w:val="0"/>
          <w:sz w:val="32"/>
          <w:szCs w:val="32"/>
          <w:lang w:eastAsia="zh-CN"/>
        </w:rPr>
        <w:t>二、总体要求</w:t>
      </w:r>
    </w:p>
    <w:p w14:paraId="5B90CECA">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楷体_GB2312" w:hAnsi="仿宋" w:eastAsia="楷体_GB2312" w:cs="宋体"/>
          <w:snapToGrid/>
          <w:color w:val="000000"/>
          <w:kern w:val="0"/>
          <w:sz w:val="32"/>
          <w:szCs w:val="32"/>
          <w:lang w:eastAsia="zh-CN"/>
        </w:rPr>
      </w:pPr>
      <w:r>
        <w:rPr>
          <w:rFonts w:hint="eastAsia" w:ascii="楷体_GB2312" w:hAnsi="仿宋" w:eastAsia="楷体_GB2312" w:cs="宋体"/>
          <w:snapToGrid/>
          <w:color w:val="000000"/>
          <w:kern w:val="0"/>
          <w:sz w:val="32"/>
          <w:szCs w:val="32"/>
          <w:lang w:eastAsia="zh-CN"/>
        </w:rPr>
        <w:t>（一）指导思想</w:t>
      </w:r>
    </w:p>
    <w:p w14:paraId="09FB8D7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坚持以习近平新时代中国特色社会主义思想为指导，深入学习贯彻党的二十大和二十届历次全会精神，全面贯彻习近平总书记关于教育的重要论述和考察江西重要讲话精神，牢牢把握教育的“</w:t>
      </w:r>
      <w:r>
        <w:rPr>
          <w:rFonts w:hint="eastAsia" w:ascii="仿宋_GB2312" w:hAnsi="仿宋" w:eastAsia="仿宋_GB2312" w:cs="Times New Roman"/>
          <w:snapToGrid/>
          <w:color w:val="000000"/>
          <w:kern w:val="2"/>
          <w:sz w:val="32"/>
          <w:szCs w:val="32"/>
          <w:lang w:val="en-US" w:eastAsia="zh-CN"/>
        </w:rPr>
        <w:t>三大属性”</w:t>
      </w:r>
      <w:r>
        <w:rPr>
          <w:rFonts w:hint="eastAsia" w:ascii="仿宋_GB2312" w:hAnsi="仿宋" w:eastAsia="仿宋_GB2312" w:cs="Times New Roman"/>
          <w:snapToGrid/>
          <w:color w:val="000000"/>
          <w:kern w:val="2"/>
          <w:sz w:val="32"/>
          <w:szCs w:val="32"/>
          <w:lang w:eastAsia="zh-CN"/>
        </w:rPr>
        <w:t>，不断强化教育的基础性、先导性、全局性地位，坚持和加强党对教育工作的全面领导，全面贯彻党的教育方针，落实立德树人根本任务，聚焦教育强市</w:t>
      </w:r>
      <w:r>
        <w:rPr>
          <w:rFonts w:hint="eastAsia" w:ascii="仿宋_GB2312" w:hAnsi="仿宋" w:eastAsia="仿宋_GB2312" w:cs="Times New Roman"/>
          <w:snapToGrid/>
          <w:color w:val="000000"/>
          <w:kern w:val="2"/>
          <w:sz w:val="32"/>
          <w:szCs w:val="32"/>
          <w:lang w:val="en-US" w:eastAsia="zh-CN"/>
        </w:rPr>
        <w:t>建设</w:t>
      </w:r>
      <w:r>
        <w:rPr>
          <w:rFonts w:hint="eastAsia" w:ascii="仿宋_GB2312" w:hAnsi="仿宋" w:eastAsia="仿宋_GB2312" w:cs="Times New Roman"/>
          <w:snapToGrid/>
          <w:color w:val="000000"/>
          <w:kern w:val="2"/>
          <w:sz w:val="32"/>
          <w:szCs w:val="32"/>
          <w:lang w:eastAsia="zh-CN"/>
        </w:rPr>
        <w:t>，加快建设高质量教育体系，切实办好人民满意的教育，</w:t>
      </w:r>
      <w:r>
        <w:rPr>
          <w:rFonts w:hint="eastAsia" w:ascii="仿宋_GB2312" w:hAnsi="仿宋" w:eastAsia="仿宋_GB2312" w:cs="Times New Roman"/>
          <w:snapToGrid/>
          <w:color w:val="000000"/>
          <w:kern w:val="2"/>
          <w:sz w:val="32"/>
          <w:szCs w:val="32"/>
          <w:lang w:val="en-US" w:eastAsia="zh-CN"/>
        </w:rPr>
        <w:t>在</w:t>
      </w:r>
      <w:r>
        <w:rPr>
          <w:rFonts w:hint="eastAsia" w:ascii="仿宋_GB2312" w:hAnsi="仿宋" w:eastAsia="仿宋_GB2312" w:cs="Times New Roman"/>
          <w:snapToGrid/>
          <w:color w:val="000000"/>
          <w:kern w:val="2"/>
          <w:sz w:val="32"/>
          <w:szCs w:val="32"/>
          <w:lang w:eastAsia="zh-CN"/>
        </w:rPr>
        <w:t>奋力谱写中国式现代化九江篇章</w:t>
      </w:r>
      <w:r>
        <w:rPr>
          <w:rFonts w:hint="eastAsia" w:ascii="仿宋_GB2312" w:hAnsi="仿宋" w:eastAsia="仿宋_GB2312" w:cs="Times New Roman"/>
          <w:snapToGrid/>
          <w:color w:val="000000"/>
          <w:kern w:val="2"/>
          <w:sz w:val="32"/>
          <w:szCs w:val="32"/>
          <w:lang w:val="en-US" w:eastAsia="zh-CN"/>
        </w:rPr>
        <w:t>中彰显教育担当</w:t>
      </w:r>
      <w:r>
        <w:rPr>
          <w:rFonts w:hint="eastAsia" w:ascii="仿宋_GB2312" w:hAnsi="仿宋" w:eastAsia="仿宋_GB2312" w:cs="Times New Roman"/>
          <w:snapToGrid/>
          <w:color w:val="000000"/>
          <w:kern w:val="2"/>
          <w:sz w:val="32"/>
          <w:szCs w:val="32"/>
          <w:lang w:eastAsia="zh-CN"/>
        </w:rPr>
        <w:t>。</w:t>
      </w:r>
    </w:p>
    <w:p w14:paraId="3A722635">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楷体_GB2312" w:hAnsi="仿宋" w:eastAsia="楷体_GB2312" w:cs="宋体"/>
          <w:snapToGrid/>
          <w:color w:val="000000"/>
          <w:kern w:val="0"/>
          <w:sz w:val="32"/>
          <w:szCs w:val="32"/>
          <w:lang w:eastAsia="zh-CN"/>
        </w:rPr>
      </w:pPr>
      <w:r>
        <w:rPr>
          <w:rFonts w:hint="eastAsia" w:ascii="楷体_GB2312" w:hAnsi="仿宋" w:eastAsia="楷体_GB2312" w:cs="宋体"/>
          <w:snapToGrid/>
          <w:color w:val="000000"/>
          <w:kern w:val="0"/>
          <w:sz w:val="32"/>
          <w:szCs w:val="32"/>
          <w:lang w:eastAsia="zh-CN"/>
        </w:rPr>
        <w:t>（二）基本原则</w:t>
      </w:r>
    </w:p>
    <w:p w14:paraId="1D1074E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坚持落实立德树人根本任务。</w:t>
      </w:r>
      <w:r>
        <w:rPr>
          <w:rFonts w:hint="eastAsia" w:ascii="仿宋_GB2312" w:hAnsi="仿宋" w:eastAsia="仿宋_GB2312" w:cs="Times New Roman"/>
          <w:snapToGrid/>
          <w:color w:val="000000"/>
          <w:kern w:val="2"/>
          <w:sz w:val="32"/>
          <w:szCs w:val="32"/>
          <w:lang w:val="en-US" w:eastAsia="zh-CN"/>
        </w:rPr>
        <w:t>加强统筹调度，塑造立德树人新格局，形成强大思政引领力，确保广大学生始终忠于党、忠于国家、忠于人民、忠于社会主义，为强国建设、民族复兴培养德智体美劳全面发展的社会主义建设者和接班人。</w:t>
      </w:r>
    </w:p>
    <w:p w14:paraId="09D1DA3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坚持全面提升教育高质量发展水平。</w:t>
      </w:r>
      <w:r>
        <w:rPr>
          <w:rFonts w:hint="eastAsia" w:ascii="仿宋_GB2312" w:hAnsi="仿宋" w:eastAsia="仿宋_GB2312" w:cs="Times New Roman"/>
          <w:b w:val="0"/>
          <w:bCs w:val="0"/>
          <w:snapToGrid/>
          <w:color w:val="000000"/>
          <w:kern w:val="2"/>
          <w:sz w:val="32"/>
          <w:szCs w:val="32"/>
          <w:lang w:val="en-US" w:eastAsia="zh-CN"/>
        </w:rPr>
        <w:t>锚定</w:t>
      </w:r>
      <w:r>
        <w:rPr>
          <w:rFonts w:hint="eastAsia" w:ascii="仿宋_GB2312" w:hAnsi="仿宋" w:eastAsia="仿宋_GB2312" w:cs="Times New Roman"/>
          <w:snapToGrid/>
          <w:color w:val="000000"/>
          <w:kern w:val="2"/>
          <w:sz w:val="32"/>
          <w:szCs w:val="32"/>
          <w:lang w:val="en-US" w:eastAsia="zh-CN"/>
        </w:rPr>
        <w:t>教育强市目标，</w:t>
      </w:r>
      <w:r>
        <w:rPr>
          <w:rFonts w:hint="eastAsia" w:ascii="仿宋_GB2312" w:hAnsi="仿宋" w:eastAsia="仿宋_GB2312" w:cs="Times New Roman"/>
          <w:snapToGrid/>
          <w:color w:val="auto"/>
          <w:kern w:val="2"/>
          <w:sz w:val="32"/>
          <w:szCs w:val="32"/>
          <w:lang w:val="en-US" w:eastAsia="zh-CN"/>
        </w:rPr>
        <w:t>实现从“有保障”到“高质量”、从“同质化”到“特色化”的梯次升级，为</w:t>
      </w:r>
      <w:r>
        <w:rPr>
          <w:rFonts w:hint="eastAsia" w:ascii="仿宋_GB2312" w:hAnsi="仿宋" w:eastAsia="仿宋_GB2312" w:cs="Times New Roman"/>
          <w:snapToGrid/>
          <w:color w:val="000000"/>
          <w:kern w:val="2"/>
          <w:sz w:val="32"/>
          <w:szCs w:val="32"/>
          <w:lang w:val="en-US" w:eastAsia="zh-CN"/>
        </w:rPr>
        <w:t>九江打造长江经济带重要节点城市提供支撑。</w:t>
      </w:r>
    </w:p>
    <w:p w14:paraId="0972F98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坚持一体推进教育科技人才发展。</w:t>
      </w:r>
      <w:r>
        <w:rPr>
          <w:rFonts w:hint="eastAsia" w:ascii="仿宋_GB2312" w:hAnsi="仿宋" w:eastAsia="仿宋_GB2312" w:cs="Times New Roman"/>
          <w:snapToGrid/>
          <w:color w:val="000000"/>
          <w:kern w:val="2"/>
          <w:sz w:val="32"/>
          <w:szCs w:val="32"/>
          <w:lang w:val="en-US" w:eastAsia="zh-CN"/>
        </w:rPr>
        <w:t>强化教育对科技和人才的基础性支撑作用，加强规划衔接、政策协同、资源统筹、评价联动，一体推进有组织的教育发展、科技创新、人才引育。</w:t>
      </w:r>
    </w:p>
    <w:p w14:paraId="4BE2CD3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坚持服务地方经济社会发展。</w:t>
      </w:r>
      <w:r>
        <w:rPr>
          <w:rFonts w:hint="eastAsia" w:ascii="仿宋_GB2312" w:hAnsi="仿宋" w:eastAsia="仿宋_GB2312" w:cs="Times New Roman"/>
          <w:b w:val="0"/>
          <w:bCs w:val="0"/>
          <w:snapToGrid/>
          <w:color w:val="000000"/>
          <w:kern w:val="2"/>
          <w:sz w:val="32"/>
          <w:szCs w:val="32"/>
          <w:lang w:val="en-US" w:eastAsia="zh-CN"/>
        </w:rPr>
        <w:t>聚焦</w:t>
      </w:r>
      <w:r>
        <w:rPr>
          <w:rFonts w:hint="eastAsia" w:ascii="仿宋_GB2312" w:hAnsi="仿宋" w:eastAsia="仿宋_GB2312" w:cs="Times New Roman"/>
          <w:snapToGrid/>
          <w:color w:val="auto"/>
          <w:kern w:val="2"/>
          <w:sz w:val="32"/>
          <w:szCs w:val="32"/>
          <w:lang w:val="en-US" w:eastAsia="zh-CN"/>
        </w:rPr>
        <w:t>“工业挂帅”需求，围绕产业升级、未来赛道布局等重点领域，</w:t>
      </w:r>
      <w:r>
        <w:rPr>
          <w:rFonts w:hint="eastAsia" w:ascii="仿宋_GB2312" w:hAnsi="仿宋" w:eastAsia="仿宋_GB2312" w:cs="Times New Roman"/>
          <w:snapToGrid/>
          <w:color w:val="000000"/>
          <w:kern w:val="2"/>
          <w:sz w:val="32"/>
          <w:szCs w:val="32"/>
          <w:lang w:val="en-US" w:eastAsia="zh-CN"/>
        </w:rPr>
        <w:t>全面提升教育对经济社会发展的支撑力和贡献力。</w:t>
      </w:r>
    </w:p>
    <w:p w14:paraId="1ED495F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坚持深化改革创新。</w:t>
      </w:r>
      <w:r>
        <w:rPr>
          <w:rFonts w:hint="eastAsia" w:ascii="仿宋_GB2312" w:hAnsi="仿宋" w:eastAsia="仿宋_GB2312" w:cs="Times New Roman"/>
          <w:snapToGrid/>
          <w:color w:val="auto"/>
          <w:kern w:val="2"/>
          <w:sz w:val="32"/>
          <w:szCs w:val="32"/>
          <w:lang w:val="en-US" w:eastAsia="zh-CN"/>
        </w:rPr>
        <w:t>紧扣教育发展堵点难点和群众急难愁盼，统筹推进理念改革、评价改革、投入保障等重点领域改革，扩大优质教育资源覆盖面，不断提升人民群众教育获得感、幸福感。</w:t>
      </w:r>
    </w:p>
    <w:p w14:paraId="4B1150B6">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楷体_GB2312" w:hAnsi="仿宋" w:eastAsia="楷体_GB2312" w:cs="宋体"/>
          <w:snapToGrid/>
          <w:color w:val="000000"/>
          <w:kern w:val="0"/>
          <w:sz w:val="32"/>
          <w:szCs w:val="32"/>
          <w:lang w:eastAsia="zh-CN"/>
        </w:rPr>
      </w:pPr>
      <w:r>
        <w:rPr>
          <w:rFonts w:hint="eastAsia" w:ascii="楷体_GB2312" w:hAnsi="仿宋" w:eastAsia="楷体_GB2312" w:cs="宋体"/>
          <w:snapToGrid/>
          <w:color w:val="000000"/>
          <w:kern w:val="0"/>
          <w:sz w:val="32"/>
          <w:szCs w:val="32"/>
          <w:lang w:eastAsia="zh-CN"/>
        </w:rPr>
        <w:t>（三）主要目标</w:t>
      </w:r>
    </w:p>
    <w:p w14:paraId="34CDB62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eastAsia="zh-CN"/>
        </w:rPr>
        <w:drawing>
          <wp:anchor distT="0" distB="0" distL="0" distR="0" simplePos="0" relativeHeight="251660288" behindDoc="1" locked="0" layoutInCell="1" allowOverlap="1">
            <wp:simplePos x="0" y="0"/>
            <wp:positionH relativeFrom="column">
              <wp:posOffset>11828145</wp:posOffset>
            </wp:positionH>
            <wp:positionV relativeFrom="paragraph">
              <wp:posOffset>1172210</wp:posOffset>
            </wp:positionV>
            <wp:extent cx="573405" cy="1306195"/>
            <wp:effectExtent l="0" t="0" r="17145" b="8255"/>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573302" cy="1305977"/>
                    </a:xfrm>
                    <a:prstGeom prst="rect">
                      <a:avLst/>
                    </a:prstGeom>
                  </pic:spPr>
                </pic:pic>
              </a:graphicData>
            </a:graphic>
          </wp:anchor>
        </w:drawing>
      </w:r>
      <w:r>
        <w:rPr>
          <w:rFonts w:hint="eastAsia" w:ascii="仿宋_GB2312" w:hAnsi="仿宋" w:eastAsia="仿宋_GB2312" w:cs="Times New Roman"/>
          <w:snapToGrid/>
          <w:color w:val="000000"/>
          <w:kern w:val="2"/>
          <w:sz w:val="32"/>
          <w:szCs w:val="32"/>
          <w:lang w:eastAsia="zh-CN"/>
        </w:rPr>
        <w:drawing>
          <wp:anchor distT="0" distB="0" distL="0" distR="0" simplePos="0" relativeHeight="251661312" behindDoc="1" locked="0" layoutInCell="1" allowOverlap="1">
            <wp:simplePos x="0" y="0"/>
            <wp:positionH relativeFrom="column">
              <wp:posOffset>11828145</wp:posOffset>
            </wp:positionH>
            <wp:positionV relativeFrom="paragraph">
              <wp:posOffset>1172210</wp:posOffset>
            </wp:positionV>
            <wp:extent cx="573405" cy="1306195"/>
            <wp:effectExtent l="0" t="0" r="17145" b="8255"/>
            <wp:wrapNone/>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7"/>
                    <a:stretch>
                      <a:fillRect/>
                    </a:stretch>
                  </pic:blipFill>
                  <pic:spPr>
                    <a:xfrm>
                      <a:off x="0" y="0"/>
                      <a:ext cx="573302" cy="1305977"/>
                    </a:xfrm>
                    <a:prstGeom prst="rect">
                      <a:avLst/>
                    </a:prstGeom>
                  </pic:spPr>
                </pic:pic>
              </a:graphicData>
            </a:graphic>
          </wp:anchor>
        </w:drawing>
      </w:r>
      <w:r>
        <w:rPr>
          <w:rFonts w:hint="eastAsia" w:ascii="仿宋_GB2312" w:hAnsi="仿宋" w:eastAsia="仿宋_GB2312" w:cs="Times New Roman"/>
          <w:snapToGrid/>
          <w:color w:val="000000"/>
          <w:kern w:val="2"/>
          <w:sz w:val="32"/>
          <w:szCs w:val="32"/>
          <w:lang w:eastAsia="zh-CN"/>
        </w:rPr>
        <w:t>到2030年，</w:t>
      </w:r>
      <w:r>
        <w:rPr>
          <w:rFonts w:hint="eastAsia" w:ascii="仿宋_GB2312" w:hAnsi="仿宋" w:eastAsia="仿宋_GB2312" w:cs="Times New Roman"/>
          <w:snapToGrid/>
          <w:kern w:val="2"/>
          <w:sz w:val="32"/>
          <w:szCs w:val="32"/>
          <w:lang w:eastAsia="zh-CN"/>
        </w:rPr>
        <w:t>紧扣</w:t>
      </w:r>
      <w:r>
        <w:rPr>
          <w:rFonts w:hint="eastAsia" w:ascii="仿宋_GB2312" w:hAnsi="仿宋" w:eastAsia="仿宋_GB2312" w:cs="Times New Roman"/>
          <w:snapToGrid/>
          <w:color w:val="auto"/>
          <w:kern w:val="2"/>
          <w:sz w:val="32"/>
          <w:szCs w:val="32"/>
          <w:lang w:eastAsia="zh-CN"/>
        </w:rPr>
        <w:t>“安全、普惠、公平、优质”</w:t>
      </w:r>
      <w:r>
        <w:rPr>
          <w:rFonts w:hint="eastAsia" w:ascii="仿宋_GB2312" w:hAnsi="仿宋" w:eastAsia="仿宋_GB2312" w:cs="Times New Roman"/>
          <w:snapToGrid/>
          <w:kern w:val="2"/>
          <w:sz w:val="32"/>
          <w:szCs w:val="32"/>
          <w:lang w:val="en-US" w:eastAsia="zh-CN"/>
        </w:rPr>
        <w:t>要求</w:t>
      </w:r>
      <w:r>
        <w:rPr>
          <w:rFonts w:hint="eastAsia" w:ascii="仿宋_GB2312" w:hAnsi="仿宋" w:eastAsia="仿宋_GB2312" w:cs="Times New Roman"/>
          <w:snapToGrid/>
          <w:kern w:val="2"/>
          <w:sz w:val="32"/>
          <w:szCs w:val="32"/>
          <w:lang w:eastAsia="zh-CN"/>
        </w:rPr>
        <w:t>，</w:t>
      </w:r>
      <w:r>
        <w:rPr>
          <w:rFonts w:hint="eastAsia" w:ascii="仿宋_GB2312" w:hAnsi="仿宋" w:eastAsia="仿宋_GB2312" w:cs="Times New Roman"/>
          <w:snapToGrid/>
          <w:color w:val="000000"/>
          <w:kern w:val="2"/>
          <w:sz w:val="32"/>
          <w:szCs w:val="32"/>
          <w:lang w:eastAsia="zh-CN"/>
        </w:rPr>
        <w:t>教育强</w:t>
      </w:r>
      <w:r>
        <w:rPr>
          <w:rFonts w:hint="eastAsia" w:ascii="仿宋_GB2312" w:hAnsi="仿宋" w:eastAsia="仿宋_GB2312" w:cs="Times New Roman"/>
          <w:snapToGrid/>
          <w:color w:val="000000"/>
          <w:kern w:val="2"/>
          <w:sz w:val="32"/>
          <w:szCs w:val="32"/>
          <w:lang w:val="en-US" w:eastAsia="zh-CN"/>
        </w:rPr>
        <w:t>市</w:t>
      </w:r>
      <w:r>
        <w:rPr>
          <w:rFonts w:hint="eastAsia" w:ascii="仿宋_GB2312" w:hAnsi="仿宋" w:eastAsia="仿宋_GB2312" w:cs="Times New Roman"/>
          <w:snapToGrid/>
          <w:color w:val="000000"/>
          <w:kern w:val="2"/>
          <w:sz w:val="32"/>
          <w:szCs w:val="32"/>
          <w:lang w:eastAsia="zh-CN"/>
        </w:rPr>
        <w:t>建设取得重要进展，基础教育综合实力位居全省前列，</w:t>
      </w:r>
      <w:r>
        <w:rPr>
          <w:rFonts w:hint="eastAsia" w:ascii="仿宋_GB2312" w:hAnsi="仿宋" w:eastAsia="仿宋_GB2312" w:cs="Times New Roman"/>
          <w:snapToGrid/>
          <w:color w:val="000000"/>
          <w:kern w:val="2"/>
          <w:sz w:val="32"/>
          <w:szCs w:val="32"/>
          <w:lang w:val="en-US" w:eastAsia="zh-CN"/>
        </w:rPr>
        <w:t>职业教育创新高地、高等教育提质扩优建设取得新突破，高素质教师队伍建设、高水平教育数字化转型、高标准校园本质安全显著提升，</w:t>
      </w:r>
      <w:r>
        <w:rPr>
          <w:rFonts w:hint="eastAsia" w:ascii="仿宋_GB2312" w:hAnsi="仿宋" w:eastAsia="仿宋_GB2312" w:cs="Times New Roman"/>
          <w:snapToGrid/>
          <w:kern w:val="2"/>
          <w:sz w:val="32"/>
          <w:szCs w:val="32"/>
          <w:lang w:eastAsia="zh-CN"/>
        </w:rPr>
        <w:t>固本、兴新、实干、争先的氛围更加浓厚，</w:t>
      </w:r>
      <w:r>
        <w:rPr>
          <w:rFonts w:hint="eastAsia" w:ascii="仿宋_GB2312" w:hAnsi="仿宋" w:eastAsia="仿宋_GB2312" w:cs="Times New Roman"/>
          <w:snapToGrid/>
          <w:color w:val="000000"/>
          <w:kern w:val="2"/>
          <w:sz w:val="32"/>
          <w:szCs w:val="32"/>
          <w:lang w:val="en-US" w:eastAsia="zh-CN"/>
        </w:rPr>
        <w:t>服务经济社会发展更加有力，教育总体发展水平迈上新台阶。</w:t>
      </w:r>
    </w:p>
    <w:p w14:paraId="3378D1F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教育发展能级稳步跃升。</w:t>
      </w:r>
      <w:r>
        <w:rPr>
          <w:rFonts w:hint="eastAsia" w:ascii="仿宋_GB2312" w:hAnsi="仿宋" w:eastAsia="仿宋_GB2312" w:cs="Times New Roman"/>
          <w:snapToGrid/>
          <w:color w:val="000000"/>
          <w:kern w:val="2"/>
          <w:sz w:val="32"/>
          <w:szCs w:val="32"/>
          <w:lang w:val="en-US" w:eastAsia="zh-CN"/>
        </w:rPr>
        <w:t>健全与人口变化相协调的教育发展机制，全域实现学前教育普及普惠发展，基本实现义务教育优质均衡发展，扩充普通高中优质资源，职业教育发展取得新成效，高等教育实现扩优提质。</w:t>
      </w:r>
    </w:p>
    <w:p w14:paraId="4972A74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教育服务效能显著提升。</w:t>
      </w:r>
      <w:r>
        <w:rPr>
          <w:rFonts w:hint="eastAsia" w:ascii="仿宋_GB2312" w:hAnsi="仿宋" w:eastAsia="仿宋_GB2312" w:cs="Times New Roman"/>
          <w:snapToGrid/>
          <w:color w:val="000000"/>
          <w:kern w:val="2"/>
          <w:sz w:val="32"/>
          <w:szCs w:val="32"/>
          <w:lang w:val="en-US" w:eastAsia="zh-CN"/>
        </w:rPr>
        <w:t>构建与经济社会发展相适配的学科专业体系与人才培养结构，强化科技创新赋能，深化产教融合、科教融汇，切实提高教育服务经济社会发展效能。</w:t>
      </w:r>
    </w:p>
    <w:p w14:paraId="43543EB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教育保障能力全面提升</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党对教育工作的全面领导进一步加强，</w:t>
      </w:r>
      <w:r>
        <w:rPr>
          <w:rFonts w:hint="eastAsia" w:ascii="仿宋_GB2312" w:hAnsi="仿宋" w:eastAsia="仿宋_GB2312" w:cs="Times New Roman"/>
          <w:snapToGrid/>
          <w:color w:val="000000"/>
          <w:kern w:val="2"/>
          <w:sz w:val="32"/>
          <w:szCs w:val="32"/>
          <w:lang w:eastAsia="zh-CN"/>
        </w:rPr>
        <w:t>“优先保障教育投入”政策机制全面确立，教育投入力度持续加大，高素质教师队伍建设</w:t>
      </w:r>
      <w:r>
        <w:rPr>
          <w:rFonts w:hint="eastAsia" w:ascii="仿宋_GB2312" w:hAnsi="仿宋" w:eastAsia="仿宋_GB2312" w:cs="Times New Roman"/>
          <w:snapToGrid/>
          <w:color w:val="000000"/>
          <w:kern w:val="2"/>
          <w:sz w:val="32"/>
          <w:szCs w:val="32"/>
          <w:lang w:val="en-US" w:eastAsia="zh-CN"/>
        </w:rPr>
        <w:t>取得突破</w:t>
      </w:r>
      <w:r>
        <w:rPr>
          <w:rFonts w:hint="eastAsia" w:ascii="仿宋_GB2312" w:hAnsi="仿宋" w:eastAsia="仿宋_GB2312" w:cs="Times New Roman"/>
          <w:snapToGrid/>
          <w:color w:val="000000"/>
          <w:kern w:val="2"/>
          <w:sz w:val="32"/>
          <w:szCs w:val="32"/>
          <w:lang w:eastAsia="zh-CN"/>
        </w:rPr>
        <w:t>，教育领域</w:t>
      </w:r>
      <w:r>
        <w:rPr>
          <w:rFonts w:hint="eastAsia" w:ascii="仿宋_GB2312" w:hAnsi="仿宋" w:eastAsia="仿宋_GB2312" w:cs="Times New Roman"/>
          <w:snapToGrid/>
          <w:color w:val="000000"/>
          <w:kern w:val="2"/>
          <w:sz w:val="32"/>
          <w:szCs w:val="32"/>
          <w:lang w:val="en-US" w:eastAsia="zh-CN"/>
        </w:rPr>
        <w:t>本质</w:t>
      </w:r>
      <w:r>
        <w:rPr>
          <w:rFonts w:hint="eastAsia" w:ascii="仿宋_GB2312" w:hAnsi="仿宋" w:eastAsia="仿宋_GB2312" w:cs="Times New Roman"/>
          <w:snapToGrid/>
          <w:color w:val="000000"/>
          <w:kern w:val="2"/>
          <w:sz w:val="32"/>
          <w:szCs w:val="32"/>
          <w:lang w:eastAsia="zh-CN"/>
        </w:rPr>
        <w:t>安全</w:t>
      </w:r>
      <w:r>
        <w:rPr>
          <w:rFonts w:hint="eastAsia" w:ascii="仿宋_GB2312" w:hAnsi="仿宋" w:eastAsia="仿宋_GB2312" w:cs="Times New Roman"/>
          <w:snapToGrid/>
          <w:color w:val="000000"/>
          <w:kern w:val="2"/>
          <w:sz w:val="32"/>
          <w:szCs w:val="32"/>
          <w:lang w:val="en-US" w:eastAsia="zh-CN"/>
        </w:rPr>
        <w:t>水平显著提升</w:t>
      </w:r>
      <w:r>
        <w:rPr>
          <w:rFonts w:hint="eastAsia" w:ascii="仿宋_GB2312" w:hAnsi="仿宋" w:eastAsia="仿宋_GB2312" w:cs="Times New Roman"/>
          <w:snapToGrid/>
          <w:color w:val="000000"/>
          <w:kern w:val="2"/>
          <w:sz w:val="32"/>
          <w:szCs w:val="32"/>
          <w:lang w:eastAsia="zh-CN"/>
        </w:rPr>
        <w:t>。</w:t>
      </w:r>
    </w:p>
    <w:p w14:paraId="11F2B6E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教育治理体系更加</w:t>
      </w:r>
      <w:r>
        <w:rPr>
          <w:rFonts w:hint="eastAsia" w:ascii="仿宋_GB2312" w:hAnsi="仿宋" w:eastAsia="仿宋_GB2312" w:cs="Times New Roman"/>
          <w:b/>
          <w:bCs/>
          <w:snapToGrid/>
          <w:color w:val="000000"/>
          <w:kern w:val="2"/>
          <w:sz w:val="32"/>
          <w:szCs w:val="32"/>
          <w:lang w:val="en-US" w:eastAsia="zh-CN"/>
        </w:rPr>
        <w:t>健全</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snapToGrid/>
          <w:color w:val="000000"/>
          <w:kern w:val="2"/>
          <w:sz w:val="32"/>
          <w:szCs w:val="32"/>
          <w:lang w:eastAsia="zh-CN"/>
        </w:rPr>
        <w:t>教育综合改革</w:t>
      </w:r>
      <w:r>
        <w:rPr>
          <w:rFonts w:hint="eastAsia" w:ascii="仿宋_GB2312" w:hAnsi="仿宋" w:eastAsia="仿宋_GB2312" w:cs="Times New Roman"/>
          <w:snapToGrid/>
          <w:color w:val="000000"/>
          <w:kern w:val="2"/>
          <w:sz w:val="32"/>
          <w:szCs w:val="32"/>
          <w:lang w:val="en-US" w:eastAsia="zh-CN"/>
        </w:rPr>
        <w:t>深化</w:t>
      </w:r>
      <w:r>
        <w:rPr>
          <w:rFonts w:hint="eastAsia" w:ascii="仿宋_GB2312" w:hAnsi="仿宋" w:eastAsia="仿宋_GB2312" w:cs="Times New Roman"/>
          <w:snapToGrid/>
          <w:color w:val="000000"/>
          <w:kern w:val="2"/>
          <w:sz w:val="32"/>
          <w:szCs w:val="32"/>
          <w:lang w:eastAsia="zh-CN"/>
        </w:rPr>
        <w:t>推进，依法治教</w:t>
      </w:r>
      <w:r>
        <w:rPr>
          <w:rFonts w:hint="eastAsia" w:ascii="仿宋_GB2312" w:hAnsi="仿宋" w:eastAsia="仿宋_GB2312" w:cs="Times New Roman"/>
          <w:snapToGrid/>
          <w:color w:val="000000"/>
          <w:kern w:val="2"/>
          <w:sz w:val="32"/>
          <w:szCs w:val="32"/>
          <w:lang w:val="en-US" w:eastAsia="zh-CN"/>
        </w:rPr>
        <w:t>和治理水平显著提升</w:t>
      </w:r>
      <w:r>
        <w:rPr>
          <w:rFonts w:hint="eastAsia" w:ascii="仿宋_GB2312" w:hAnsi="仿宋" w:eastAsia="仿宋_GB2312" w:cs="Times New Roman"/>
          <w:snapToGrid/>
          <w:color w:val="000000"/>
          <w:kern w:val="2"/>
          <w:sz w:val="32"/>
          <w:szCs w:val="32"/>
          <w:lang w:eastAsia="zh-CN"/>
        </w:rPr>
        <w:t>，高水平对外</w:t>
      </w:r>
      <w:r>
        <w:rPr>
          <w:rFonts w:hint="eastAsia" w:ascii="仿宋_GB2312" w:hAnsi="仿宋" w:eastAsia="仿宋_GB2312" w:cs="Times New Roman"/>
          <w:snapToGrid/>
          <w:color w:val="000000"/>
          <w:kern w:val="2"/>
          <w:sz w:val="32"/>
          <w:szCs w:val="32"/>
          <w:lang w:val="en-US" w:eastAsia="zh-CN"/>
        </w:rPr>
        <w:t>交流全面加强</w:t>
      </w:r>
      <w:r>
        <w:rPr>
          <w:rFonts w:hint="eastAsia" w:ascii="仿宋_GB2312" w:hAnsi="仿宋" w:eastAsia="仿宋_GB2312" w:cs="Times New Roman"/>
          <w:snapToGrid/>
          <w:color w:val="000000"/>
          <w:kern w:val="2"/>
          <w:sz w:val="32"/>
          <w:szCs w:val="32"/>
          <w:lang w:eastAsia="zh-CN"/>
        </w:rPr>
        <w:t>。</w:t>
      </w:r>
    </w:p>
    <w:p w14:paraId="1EBC30B3">
      <w:pPr>
        <w:keepNext w:val="0"/>
        <w:keepLines w:val="0"/>
        <w:pageBreakBefore w:val="0"/>
        <w:wordWrap/>
        <w:overflowPunct/>
        <w:topLinePunct w:val="0"/>
        <w:bidi w:val="0"/>
        <w:spacing w:line="540" w:lineRule="exact"/>
        <w:jc w:val="center"/>
        <w:rPr>
          <w:rFonts w:hint="eastAsia" w:ascii="华文中宋" w:hAnsi="华文中宋" w:eastAsia="华文中宋" w:cs="华文中宋"/>
          <w:sz w:val="32"/>
          <w:szCs w:val="32"/>
        </w:rPr>
      </w:pPr>
      <w:r>
        <w:rPr>
          <w:rFonts w:hint="eastAsia" w:ascii="仿宋_GB2312" w:hAnsi="仿宋_GB2312" w:eastAsia="仿宋_GB2312" w:cs="仿宋_GB2312"/>
          <w:b/>
          <w:bCs/>
          <w:sz w:val="32"/>
          <w:szCs w:val="32"/>
          <w:lang w:val="en-US" w:eastAsia="zh-CN"/>
        </w:rPr>
        <w:t>九江市</w:t>
      </w:r>
      <w:r>
        <w:rPr>
          <w:rFonts w:hint="eastAsia" w:ascii="仿宋_GB2312" w:hAnsi="仿宋_GB2312" w:eastAsia="仿宋_GB2312" w:cs="仿宋_GB2312"/>
          <w:b/>
          <w:bCs/>
          <w:sz w:val="32"/>
          <w:szCs w:val="32"/>
        </w:rPr>
        <w:t>教育</w:t>
      </w:r>
      <w:r>
        <w:rPr>
          <w:rFonts w:hint="eastAsia" w:ascii="仿宋_GB2312" w:hAnsi="仿宋_GB2312" w:eastAsia="仿宋_GB2312" w:cs="仿宋_GB2312"/>
          <w:b/>
          <w:bCs/>
          <w:sz w:val="32"/>
          <w:szCs w:val="32"/>
          <w:lang w:val="en-US" w:eastAsia="zh-CN"/>
        </w:rPr>
        <w:t>事业</w:t>
      </w:r>
      <w:r>
        <w:rPr>
          <w:rFonts w:hint="eastAsia" w:ascii="仿宋_GB2312" w:hAnsi="仿宋_GB2312" w:eastAsia="仿宋_GB2312" w:cs="仿宋_GB2312"/>
          <w:b/>
          <w:bCs/>
          <w:sz w:val="32"/>
          <w:szCs w:val="32"/>
        </w:rPr>
        <w:t>发展“十五五”规划主要目标</w:t>
      </w:r>
    </w:p>
    <w:tbl>
      <w:tblPr>
        <w:tblStyle w:val="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0"/>
        <w:gridCol w:w="5037"/>
        <w:gridCol w:w="1796"/>
        <w:gridCol w:w="1234"/>
      </w:tblGrid>
      <w:tr w14:paraId="63151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441" w:type="pct"/>
            <w:vAlign w:val="center"/>
          </w:tcPr>
          <w:p w14:paraId="42FB0017">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序号</w:t>
            </w:r>
          </w:p>
        </w:tc>
        <w:tc>
          <w:tcPr>
            <w:tcW w:w="2846" w:type="pct"/>
            <w:vAlign w:val="center"/>
          </w:tcPr>
          <w:p w14:paraId="3D0AAA86">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指    标</w:t>
            </w:r>
          </w:p>
        </w:tc>
        <w:tc>
          <w:tcPr>
            <w:tcW w:w="1015" w:type="pct"/>
            <w:vAlign w:val="center"/>
          </w:tcPr>
          <w:p w14:paraId="79ACDECF">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2025年</w:t>
            </w:r>
          </w:p>
        </w:tc>
        <w:tc>
          <w:tcPr>
            <w:tcW w:w="697" w:type="pct"/>
            <w:vAlign w:val="center"/>
          </w:tcPr>
          <w:p w14:paraId="3F95066D">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2030年</w:t>
            </w:r>
          </w:p>
        </w:tc>
      </w:tr>
      <w:tr w14:paraId="35DE7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41" w:type="pct"/>
            <w:vAlign w:val="center"/>
          </w:tcPr>
          <w:p w14:paraId="3F0530B0">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1</w:t>
            </w:r>
          </w:p>
        </w:tc>
        <w:tc>
          <w:tcPr>
            <w:tcW w:w="2846" w:type="pct"/>
            <w:vAlign w:val="center"/>
          </w:tcPr>
          <w:p w14:paraId="79979361">
            <w:pPr>
              <w:pStyle w:val="7"/>
              <w:keepNext w:val="0"/>
              <w:keepLines w:val="0"/>
              <w:pageBreakBefore w:val="0"/>
              <w:widowControl/>
              <w:wordWrap/>
              <w:overflowPunct/>
              <w:topLinePunct w:val="0"/>
              <w:bidi w:val="0"/>
              <w:spacing w:before="118" w:beforeAutospacing="1" w:after="100" w:afterAutospacing="1" w:line="540" w:lineRule="exact"/>
              <w:jc w:val="both"/>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学前教育毛入园率（%）</w:t>
            </w:r>
          </w:p>
        </w:tc>
        <w:tc>
          <w:tcPr>
            <w:tcW w:w="1015" w:type="pct"/>
            <w:vAlign w:val="center"/>
          </w:tcPr>
          <w:p w14:paraId="7F8D08CC">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98.6</w:t>
            </w:r>
          </w:p>
        </w:tc>
        <w:tc>
          <w:tcPr>
            <w:tcW w:w="697" w:type="pct"/>
            <w:vAlign w:val="center"/>
          </w:tcPr>
          <w:p w14:paraId="208C11AA">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98.8</w:t>
            </w:r>
          </w:p>
        </w:tc>
      </w:tr>
      <w:tr w14:paraId="25681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441" w:type="pct"/>
            <w:vAlign w:val="center"/>
          </w:tcPr>
          <w:p w14:paraId="39964979">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w:t>
            </w:r>
          </w:p>
        </w:tc>
        <w:tc>
          <w:tcPr>
            <w:tcW w:w="2846" w:type="pct"/>
            <w:vAlign w:val="center"/>
          </w:tcPr>
          <w:p w14:paraId="5B039884">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初中毕业年级阅读/数学达标学生比例（%）</w:t>
            </w:r>
          </w:p>
        </w:tc>
        <w:tc>
          <w:tcPr>
            <w:tcW w:w="1015" w:type="pct"/>
            <w:vAlign w:val="center"/>
          </w:tcPr>
          <w:p w14:paraId="25000AE5">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78.3/79.5</w:t>
            </w:r>
          </w:p>
        </w:tc>
        <w:tc>
          <w:tcPr>
            <w:tcW w:w="697" w:type="pct"/>
            <w:vAlign w:val="center"/>
          </w:tcPr>
          <w:p w14:paraId="43782112">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82</w:t>
            </w:r>
          </w:p>
        </w:tc>
      </w:tr>
      <w:tr w14:paraId="04B7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441" w:type="pct"/>
            <w:vAlign w:val="center"/>
          </w:tcPr>
          <w:p w14:paraId="438FE30E">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3</w:t>
            </w:r>
          </w:p>
        </w:tc>
        <w:tc>
          <w:tcPr>
            <w:tcW w:w="2846" w:type="pct"/>
            <w:vAlign w:val="center"/>
          </w:tcPr>
          <w:p w14:paraId="2820D189">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高中阶段教育完成率（%）</w:t>
            </w:r>
          </w:p>
        </w:tc>
        <w:tc>
          <w:tcPr>
            <w:tcW w:w="1015" w:type="pct"/>
            <w:vAlign w:val="center"/>
          </w:tcPr>
          <w:p w14:paraId="25E3A4E4">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84.2</w:t>
            </w:r>
          </w:p>
        </w:tc>
        <w:tc>
          <w:tcPr>
            <w:tcW w:w="697" w:type="pct"/>
            <w:vAlign w:val="center"/>
          </w:tcPr>
          <w:p w14:paraId="3DAD7EBC">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88</w:t>
            </w:r>
          </w:p>
        </w:tc>
      </w:tr>
      <w:tr w14:paraId="3D95A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441" w:type="pct"/>
            <w:vAlign w:val="center"/>
          </w:tcPr>
          <w:p w14:paraId="2EA51F4D">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4</w:t>
            </w:r>
          </w:p>
        </w:tc>
        <w:tc>
          <w:tcPr>
            <w:tcW w:w="2846" w:type="pct"/>
            <w:vAlign w:val="center"/>
          </w:tcPr>
          <w:p w14:paraId="6E7520A8">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通过学前教育普及普惠国家督导评估认定县域比例（%）</w:t>
            </w:r>
          </w:p>
        </w:tc>
        <w:tc>
          <w:tcPr>
            <w:tcW w:w="1015" w:type="pct"/>
            <w:vAlign w:val="center"/>
          </w:tcPr>
          <w:p w14:paraId="02637395">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w:t>
            </w:r>
          </w:p>
        </w:tc>
        <w:tc>
          <w:tcPr>
            <w:tcW w:w="697" w:type="pct"/>
            <w:vAlign w:val="center"/>
          </w:tcPr>
          <w:p w14:paraId="1E2CD9C1">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100</w:t>
            </w:r>
          </w:p>
        </w:tc>
      </w:tr>
      <w:tr w14:paraId="725FB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441" w:type="pct"/>
            <w:vAlign w:val="center"/>
          </w:tcPr>
          <w:p w14:paraId="38AECD33">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5</w:t>
            </w:r>
          </w:p>
        </w:tc>
        <w:tc>
          <w:tcPr>
            <w:tcW w:w="2846" w:type="pct"/>
            <w:vAlign w:val="center"/>
          </w:tcPr>
          <w:p w14:paraId="591101F4">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通过义务教育优质均衡发展国家督导评估认定县域比例（%）</w:t>
            </w:r>
          </w:p>
        </w:tc>
        <w:tc>
          <w:tcPr>
            <w:tcW w:w="1015" w:type="pct"/>
            <w:vAlign w:val="center"/>
          </w:tcPr>
          <w:p w14:paraId="6F3975FB">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20</w:t>
            </w:r>
          </w:p>
        </w:tc>
        <w:tc>
          <w:tcPr>
            <w:tcW w:w="697" w:type="pct"/>
            <w:vAlign w:val="center"/>
          </w:tcPr>
          <w:p w14:paraId="11ACB0BB">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80</w:t>
            </w:r>
          </w:p>
        </w:tc>
      </w:tr>
      <w:tr w14:paraId="24DF1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441" w:type="pct"/>
            <w:vAlign w:val="center"/>
          </w:tcPr>
          <w:p w14:paraId="73D6315A">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6</w:t>
            </w:r>
          </w:p>
        </w:tc>
        <w:tc>
          <w:tcPr>
            <w:tcW w:w="2846" w:type="pct"/>
            <w:vAlign w:val="center"/>
          </w:tcPr>
          <w:p w14:paraId="1796D590">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高等教育毛入学率（%）</w:t>
            </w:r>
          </w:p>
        </w:tc>
        <w:tc>
          <w:tcPr>
            <w:tcW w:w="1015" w:type="pct"/>
            <w:shd w:val="clear" w:color="auto" w:fill="auto"/>
            <w:vAlign w:val="center"/>
          </w:tcPr>
          <w:p w14:paraId="300A43FE">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64.85</w:t>
            </w:r>
          </w:p>
        </w:tc>
        <w:tc>
          <w:tcPr>
            <w:tcW w:w="697" w:type="pct"/>
            <w:shd w:val="clear" w:color="auto" w:fill="auto"/>
            <w:vAlign w:val="center"/>
          </w:tcPr>
          <w:p w14:paraId="63A4A445">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68.91</w:t>
            </w:r>
          </w:p>
        </w:tc>
      </w:tr>
      <w:tr w14:paraId="5E9C1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441" w:type="pct"/>
            <w:vAlign w:val="center"/>
          </w:tcPr>
          <w:p w14:paraId="334D1A65">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7</w:t>
            </w:r>
          </w:p>
        </w:tc>
        <w:tc>
          <w:tcPr>
            <w:tcW w:w="2846" w:type="pct"/>
            <w:vAlign w:val="center"/>
          </w:tcPr>
          <w:p w14:paraId="511E1FC8">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农村义务教育学校专任教师本科及以上学历占比（%）</w:t>
            </w:r>
          </w:p>
        </w:tc>
        <w:tc>
          <w:tcPr>
            <w:tcW w:w="1015" w:type="pct"/>
            <w:vAlign w:val="center"/>
          </w:tcPr>
          <w:p w14:paraId="20CB5ED8">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88.17</w:t>
            </w:r>
          </w:p>
        </w:tc>
        <w:tc>
          <w:tcPr>
            <w:tcW w:w="697" w:type="pct"/>
            <w:vAlign w:val="center"/>
          </w:tcPr>
          <w:p w14:paraId="126CBE2C">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90</w:t>
            </w:r>
          </w:p>
        </w:tc>
      </w:tr>
      <w:tr w14:paraId="46F29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441" w:type="pct"/>
            <w:vAlign w:val="center"/>
          </w:tcPr>
          <w:p w14:paraId="56788278">
            <w:pPr>
              <w:pStyle w:val="7"/>
              <w:keepNext w:val="0"/>
              <w:keepLines w:val="0"/>
              <w:pageBreakBefore w:val="0"/>
              <w:widowControl/>
              <w:wordWrap/>
              <w:overflowPunct/>
              <w:topLinePunct w:val="0"/>
              <w:bidi w:val="0"/>
              <w:spacing w:before="118" w:beforeAutospacing="1" w:after="100" w:afterAutospacing="1" w:line="540" w:lineRule="exact"/>
              <w:jc w:val="center"/>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w:t>
            </w:r>
          </w:p>
        </w:tc>
        <w:tc>
          <w:tcPr>
            <w:tcW w:w="2846" w:type="pct"/>
            <w:vAlign w:val="center"/>
          </w:tcPr>
          <w:p w14:paraId="4EAB798B">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国家级、省级市域产教联合体和行业产教融合共同体/现场工程师学院数量 （个）</w:t>
            </w:r>
          </w:p>
        </w:tc>
        <w:tc>
          <w:tcPr>
            <w:tcW w:w="1015" w:type="pct"/>
            <w:vAlign w:val="center"/>
          </w:tcPr>
          <w:p w14:paraId="262C6D89">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2/2</w:t>
            </w:r>
          </w:p>
        </w:tc>
        <w:tc>
          <w:tcPr>
            <w:tcW w:w="697" w:type="pct"/>
            <w:vAlign w:val="center"/>
          </w:tcPr>
          <w:p w14:paraId="2531BA97">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3/4</w:t>
            </w:r>
          </w:p>
        </w:tc>
      </w:tr>
      <w:tr w14:paraId="2D0F4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441" w:type="pct"/>
            <w:vAlign w:val="center"/>
          </w:tcPr>
          <w:p w14:paraId="27D94FCF">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9</w:t>
            </w:r>
          </w:p>
        </w:tc>
        <w:tc>
          <w:tcPr>
            <w:tcW w:w="2846" w:type="pct"/>
            <w:vAlign w:val="center"/>
          </w:tcPr>
          <w:p w14:paraId="4CBC1BE8">
            <w:pPr>
              <w:pStyle w:val="7"/>
              <w:keepNext w:val="0"/>
              <w:keepLines w:val="0"/>
              <w:pageBreakBefore w:val="0"/>
              <w:widowControl/>
              <w:kinsoku w:val="0"/>
              <w:wordWrap/>
              <w:overflowPunct/>
              <w:topLinePunct w:val="0"/>
              <w:autoSpaceDE w:val="0"/>
              <w:autoSpaceDN w:val="0"/>
              <w:bidi w:val="0"/>
              <w:adjustRightInd w:val="0"/>
              <w:snapToGrid w:val="0"/>
              <w:spacing w:before="118" w:beforeAutospacing="1" w:after="100" w:afterAutospacing="1" w:line="440" w:lineRule="exact"/>
              <w:jc w:val="both"/>
              <w:textAlignment w:val="baseline"/>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劳动年龄人口平均受教育年限（年）</w:t>
            </w:r>
          </w:p>
        </w:tc>
        <w:tc>
          <w:tcPr>
            <w:tcW w:w="1015" w:type="pct"/>
            <w:vAlign w:val="center"/>
          </w:tcPr>
          <w:p w14:paraId="2F16D04B">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auto"/>
                <w:kern w:val="2"/>
                <w:sz w:val="32"/>
                <w:szCs w:val="32"/>
                <w:lang w:val="en-US" w:eastAsia="zh-CN" w:bidi="ar-SA"/>
              </w:rPr>
              <w:t>11.07</w:t>
            </w:r>
          </w:p>
        </w:tc>
        <w:tc>
          <w:tcPr>
            <w:tcW w:w="697" w:type="pct"/>
            <w:vAlign w:val="center"/>
          </w:tcPr>
          <w:p w14:paraId="015C55C1">
            <w:pPr>
              <w:pStyle w:val="7"/>
              <w:keepNext w:val="0"/>
              <w:keepLines w:val="0"/>
              <w:pageBreakBefore w:val="0"/>
              <w:widowControl/>
              <w:wordWrap/>
              <w:overflowPunct/>
              <w:topLinePunct w:val="0"/>
              <w:bidi w:val="0"/>
              <w:spacing w:before="118" w:beforeAutospacing="1" w:after="100" w:afterAutospacing="1" w:line="540" w:lineRule="exact"/>
              <w:jc w:val="center"/>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11.5</w:t>
            </w:r>
          </w:p>
        </w:tc>
      </w:tr>
    </w:tbl>
    <w:p w14:paraId="222667CB">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黑体" w:hAnsi="黑体" w:eastAsia="黑体" w:cs="宋体"/>
          <w:bCs/>
          <w:snapToGrid/>
          <w:color w:val="000000"/>
          <w:kern w:val="0"/>
          <w:sz w:val="32"/>
          <w:szCs w:val="32"/>
          <w:lang w:eastAsia="zh-CN"/>
        </w:rPr>
      </w:pPr>
      <w:r>
        <w:rPr>
          <w:rFonts w:hint="eastAsia" w:ascii="黑体" w:hAnsi="黑体" w:eastAsia="黑体" w:cs="宋体"/>
          <w:bCs/>
          <w:snapToGrid/>
          <w:color w:val="000000"/>
          <w:kern w:val="0"/>
          <w:sz w:val="32"/>
          <w:szCs w:val="32"/>
          <w:lang w:eastAsia="zh-CN"/>
        </w:rPr>
        <w:t>三、重点任务</w:t>
      </w:r>
    </w:p>
    <w:p w14:paraId="6B57F683">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（一）落实立德树人根本任务</w:t>
      </w:r>
    </w:p>
    <w:p w14:paraId="0FF602F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1.践行</w:t>
      </w:r>
      <w:r>
        <w:rPr>
          <w:rFonts w:hint="eastAsia" w:ascii="仿宋_GB2312" w:hAnsi="仿宋" w:eastAsia="仿宋_GB2312" w:cs="Times New Roman"/>
          <w:b/>
          <w:bCs/>
          <w:snapToGrid/>
          <w:color w:val="000000"/>
          <w:kern w:val="2"/>
          <w:sz w:val="32"/>
          <w:szCs w:val="32"/>
          <w:lang w:eastAsia="zh-CN"/>
        </w:rPr>
        <w:t>铸魂育人</w:t>
      </w:r>
      <w:r>
        <w:rPr>
          <w:rFonts w:hint="eastAsia" w:ascii="仿宋_GB2312" w:hAnsi="仿宋" w:eastAsia="仿宋_GB2312" w:cs="Times New Roman"/>
          <w:b/>
          <w:bCs/>
          <w:snapToGrid/>
          <w:color w:val="000000"/>
          <w:kern w:val="2"/>
          <w:sz w:val="32"/>
          <w:szCs w:val="32"/>
          <w:lang w:val="en-US" w:eastAsia="zh-CN"/>
        </w:rPr>
        <w:t>使命</w:t>
      </w:r>
    </w:p>
    <w:p w14:paraId="38C41F7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坚持不懈用习近平新时代中国特色社会主义思想铸魂育人。扎实推进习近平新时代中国特色社会主义思想进教材、进课堂、进学生头脑，统筹用好国家</w:t>
      </w:r>
      <w:r>
        <w:rPr>
          <w:rFonts w:hint="eastAsia" w:ascii="仿宋_GB2312" w:hAnsi="仿宋" w:eastAsia="仿宋_GB2312" w:cs="Times New Roman"/>
          <w:snapToGrid/>
          <w:color w:val="000000"/>
          <w:kern w:val="2"/>
          <w:sz w:val="32"/>
          <w:szCs w:val="32"/>
          <w:lang w:val="en-US" w:eastAsia="zh-CN"/>
        </w:rPr>
        <w:t>中小学思政课</w:t>
      </w:r>
      <w:r>
        <w:rPr>
          <w:rFonts w:hint="eastAsia" w:ascii="仿宋_GB2312" w:hAnsi="仿宋" w:eastAsia="仿宋_GB2312" w:cs="Times New Roman"/>
          <w:snapToGrid/>
          <w:color w:val="000000"/>
          <w:kern w:val="2"/>
          <w:sz w:val="32"/>
          <w:szCs w:val="32"/>
          <w:lang w:eastAsia="zh-CN"/>
        </w:rPr>
        <w:t>统编教材</w:t>
      </w:r>
      <w:r>
        <w:rPr>
          <w:rFonts w:hint="eastAsia" w:ascii="仿宋_GB2312" w:hAnsi="仿宋" w:eastAsia="仿宋_GB2312" w:cs="Times New Roman"/>
          <w:snapToGrid/>
          <w:color w:val="000000"/>
          <w:kern w:val="2"/>
          <w:sz w:val="32"/>
          <w:szCs w:val="32"/>
          <w:lang w:val="en-US" w:eastAsia="zh-CN"/>
        </w:rPr>
        <w:t>、江西省</w:t>
      </w:r>
      <w:r>
        <w:rPr>
          <w:rFonts w:hint="eastAsia" w:ascii="仿宋_GB2312" w:hAnsi="仿宋" w:eastAsia="仿宋_GB2312" w:cs="Times New Roman"/>
          <w:snapToGrid/>
          <w:color w:val="000000"/>
          <w:kern w:val="2"/>
          <w:sz w:val="32"/>
          <w:szCs w:val="32"/>
          <w:lang w:eastAsia="zh-CN"/>
        </w:rPr>
        <w:t>地方课程</w:t>
      </w:r>
      <w:r>
        <w:rPr>
          <w:rFonts w:hint="eastAsia" w:ascii="仿宋_GB2312" w:hAnsi="仿宋" w:eastAsia="仿宋_GB2312" w:cs="Times New Roman"/>
          <w:snapToGrid/>
          <w:color w:val="000000"/>
          <w:kern w:val="2"/>
          <w:sz w:val="32"/>
          <w:szCs w:val="32"/>
          <w:lang w:val="en-US" w:eastAsia="zh-CN"/>
        </w:rPr>
        <w:t>教材</w:t>
      </w:r>
      <w:r>
        <w:rPr>
          <w:rFonts w:hint="eastAsia" w:ascii="仿宋_GB2312" w:hAnsi="仿宋" w:eastAsia="仿宋_GB2312" w:cs="Times New Roman"/>
          <w:snapToGrid/>
          <w:color w:val="000000"/>
          <w:kern w:val="2"/>
          <w:sz w:val="32"/>
          <w:szCs w:val="32"/>
          <w:lang w:eastAsia="zh-CN"/>
        </w:rPr>
        <w:t>等，充分利用新时代的伟大实践成就和时政要闻等</w:t>
      </w:r>
      <w:r>
        <w:rPr>
          <w:rFonts w:hint="eastAsia" w:ascii="仿宋_GB2312" w:hAnsi="仿宋" w:eastAsia="仿宋_GB2312" w:cs="Times New Roman"/>
          <w:snapToGrid/>
          <w:color w:val="000000"/>
          <w:kern w:val="2"/>
          <w:sz w:val="32"/>
          <w:szCs w:val="32"/>
          <w:lang w:val="en-US" w:eastAsia="zh-CN"/>
        </w:rPr>
        <w:t>方面形成的</w:t>
      </w:r>
      <w:r>
        <w:rPr>
          <w:rFonts w:hint="eastAsia" w:ascii="仿宋_GB2312" w:hAnsi="仿宋" w:eastAsia="仿宋_GB2312" w:cs="Times New Roman"/>
          <w:snapToGrid/>
          <w:color w:val="000000"/>
          <w:kern w:val="2"/>
          <w:sz w:val="32"/>
          <w:szCs w:val="32"/>
          <w:lang w:eastAsia="zh-CN"/>
        </w:rPr>
        <w:t>教育资源，丰富思政课教育内容，</w:t>
      </w:r>
      <w:r>
        <w:rPr>
          <w:rFonts w:hint="eastAsia" w:ascii="仿宋_GB2312" w:hAnsi="仿宋" w:eastAsia="仿宋_GB2312" w:cs="Times New Roman"/>
          <w:snapToGrid/>
          <w:color w:val="000000"/>
          <w:kern w:val="2"/>
          <w:sz w:val="32"/>
          <w:szCs w:val="32"/>
          <w:lang w:val="en-US" w:eastAsia="zh-CN"/>
        </w:rPr>
        <w:t>有机融入课堂教学</w:t>
      </w:r>
      <w:r>
        <w:rPr>
          <w:rFonts w:hint="eastAsia" w:ascii="仿宋_GB2312" w:hAnsi="仿宋" w:eastAsia="仿宋_GB2312" w:cs="Times New Roman"/>
          <w:snapToGrid/>
          <w:color w:val="000000"/>
          <w:kern w:val="2"/>
          <w:sz w:val="32"/>
          <w:szCs w:val="32"/>
          <w:lang w:eastAsia="zh-CN"/>
        </w:rPr>
        <w:t>。</w:t>
      </w:r>
    </w:p>
    <w:p w14:paraId="7544E49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2.实施新时代立德树人工程</w:t>
      </w:r>
    </w:p>
    <w:p w14:paraId="03C111C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eastAsia="zh-CN"/>
        </w:rPr>
        <w:t>完善大中小学思想政治教育一体化机制，做好做实“九江市大中小学思政课一体化共同体”试点建设项目。拓展实践育人和网络育人空间，打造“沿着习近平总书记的足迹看九江”“</w:t>
      </w:r>
      <w:r>
        <w:rPr>
          <w:rFonts w:hint="eastAsia" w:ascii="仿宋_GB2312" w:hAnsi="仿宋" w:eastAsia="仿宋_GB2312" w:cs="Times New Roman"/>
          <w:strike w:val="0"/>
          <w:snapToGrid/>
          <w:color w:val="000000"/>
          <w:kern w:val="2"/>
          <w:sz w:val="32"/>
          <w:szCs w:val="32"/>
          <w:lang w:val="en-US" w:eastAsia="zh-CN"/>
        </w:rPr>
        <w:t>跟</w:t>
      </w:r>
      <w:r>
        <w:rPr>
          <w:rFonts w:hint="eastAsia" w:ascii="仿宋_GB2312" w:hAnsi="仿宋" w:eastAsia="仿宋_GB2312" w:cs="Times New Roman"/>
          <w:snapToGrid/>
          <w:color w:val="000000"/>
          <w:kern w:val="2"/>
          <w:sz w:val="32"/>
          <w:szCs w:val="32"/>
          <w:lang w:eastAsia="zh-CN"/>
        </w:rPr>
        <w:t>着课本游九江”等实践</w:t>
      </w:r>
      <w:r>
        <w:rPr>
          <w:rFonts w:hint="eastAsia" w:ascii="仿宋_GB2312" w:hAnsi="仿宋" w:eastAsia="仿宋_GB2312" w:cs="Times New Roman"/>
          <w:snapToGrid/>
          <w:color w:val="000000"/>
          <w:kern w:val="2"/>
          <w:sz w:val="32"/>
          <w:szCs w:val="32"/>
          <w:lang w:val="en-US" w:eastAsia="zh-CN"/>
        </w:rPr>
        <w:t>育人</w:t>
      </w:r>
      <w:r>
        <w:rPr>
          <w:rFonts w:hint="eastAsia" w:ascii="仿宋_GB2312" w:hAnsi="仿宋" w:eastAsia="仿宋_GB2312" w:cs="Times New Roman"/>
          <w:snapToGrid/>
          <w:color w:val="000000"/>
          <w:kern w:val="2"/>
          <w:sz w:val="32"/>
          <w:szCs w:val="32"/>
          <w:lang w:eastAsia="zh-CN"/>
        </w:rPr>
        <w:t>品牌。布局学校网络育人实验室，建强网络思政教育名师。</w:t>
      </w:r>
      <w:r>
        <w:rPr>
          <w:rFonts w:hint="eastAsia" w:ascii="仿宋_GB2312" w:hAnsi="仿宋" w:eastAsia="仿宋_GB2312" w:cs="Times New Roman"/>
          <w:snapToGrid/>
          <w:color w:val="000000"/>
          <w:kern w:val="2"/>
          <w:sz w:val="32"/>
          <w:szCs w:val="32"/>
          <w:lang w:val="en-US" w:eastAsia="zh-CN"/>
        </w:rPr>
        <w:t>深化铸牢中华民族共同体意识教育，加强“五史”教育和文化教育。高质量推进大中小学思政课一体化改革，重点打造10个一体化团队、10门优质课程 。</w:t>
      </w:r>
    </w:p>
    <w:p w14:paraId="3655FB8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eastAsia="zh-CN"/>
        </w:rPr>
        <w:t>3.</w:t>
      </w:r>
      <w:r>
        <w:rPr>
          <w:rFonts w:hint="eastAsia" w:ascii="仿宋_GB2312" w:hAnsi="仿宋" w:eastAsia="仿宋_GB2312" w:cs="Times New Roman"/>
          <w:b/>
          <w:bCs/>
          <w:snapToGrid/>
          <w:color w:val="000000"/>
          <w:kern w:val="2"/>
          <w:sz w:val="32"/>
          <w:szCs w:val="32"/>
          <w:lang w:val="en-US" w:eastAsia="zh-CN"/>
        </w:rPr>
        <w:t>提升红色文化育人质效</w:t>
      </w:r>
    </w:p>
    <w:p w14:paraId="44923D0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培育创建</w:t>
      </w:r>
      <w:r>
        <w:rPr>
          <w:rFonts w:hint="eastAsia" w:ascii="仿宋_GB2312" w:hAnsi="仿宋" w:eastAsia="仿宋_GB2312" w:cs="Times New Roman"/>
          <w:snapToGrid/>
          <w:color w:val="000000"/>
          <w:kern w:val="2"/>
          <w:sz w:val="32"/>
          <w:szCs w:val="32"/>
          <w:lang w:eastAsia="zh-CN"/>
        </w:rPr>
        <w:t>红色基因传承</w:t>
      </w:r>
      <w:r>
        <w:rPr>
          <w:rFonts w:hint="eastAsia" w:ascii="仿宋_GB2312" w:hAnsi="仿宋" w:eastAsia="仿宋_GB2312" w:cs="Times New Roman"/>
          <w:snapToGrid/>
          <w:color w:val="000000"/>
          <w:kern w:val="2"/>
          <w:sz w:val="32"/>
          <w:szCs w:val="32"/>
          <w:lang w:val="en-US" w:eastAsia="zh-CN"/>
        </w:rPr>
        <w:t>示范</w:t>
      </w:r>
      <w:r>
        <w:rPr>
          <w:rFonts w:hint="eastAsia" w:ascii="仿宋_GB2312" w:hAnsi="仿宋" w:eastAsia="仿宋_GB2312" w:cs="Times New Roman"/>
          <w:snapToGrid/>
          <w:color w:val="000000"/>
          <w:kern w:val="2"/>
          <w:sz w:val="32"/>
          <w:szCs w:val="32"/>
          <w:lang w:eastAsia="zh-CN"/>
        </w:rPr>
        <w:t>区，完善红色文化教育体系，深入推进全国红色文化育人共同体建设。强化红色校园阵地建设，开好讲好红色文化课，积极推进中小学红色研学实践育人。实施红色文化教育资源数字化工程。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602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tcPr>
          <w:p w14:paraId="7C0C03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 w:eastAsia="仿宋_GB2312" w:cs="Times New Roman"/>
                <w:b w:val="0"/>
                <w:bCs w:val="0"/>
                <w:snapToGrid/>
                <w:color w:val="000000"/>
                <w:kern w:val="2"/>
                <w:sz w:val="32"/>
                <w:szCs w:val="32"/>
                <w:vertAlign w:val="baseline"/>
                <w:lang w:eastAsia="zh-CN"/>
              </w:rPr>
            </w:pPr>
            <w:r>
              <w:rPr>
                <w:rFonts w:hint="eastAsia" w:ascii="华文楷体" w:hAnsi="华文楷体" w:eastAsia="华文楷体" w:cs="华文楷体"/>
                <w:b w:val="0"/>
                <w:bCs w:val="0"/>
                <w:snapToGrid/>
                <w:color w:val="000000"/>
                <w:kern w:val="2"/>
                <w:sz w:val="32"/>
                <w:szCs w:val="32"/>
                <w:lang w:val="en-US" w:eastAsia="zh-CN" w:bidi="ar-SA"/>
              </w:rPr>
              <w:t>重大工程1：</w:t>
            </w:r>
            <w:r>
              <w:rPr>
                <w:rFonts w:hint="eastAsia" w:ascii="黑体" w:hAnsi="黑体" w:eastAsia="黑体" w:cs="黑体"/>
                <w:b w:val="0"/>
                <w:bCs w:val="0"/>
                <w:snapToGrid/>
                <w:color w:val="000000"/>
                <w:kern w:val="2"/>
                <w:sz w:val="32"/>
                <w:szCs w:val="32"/>
                <w:lang w:val="en-US" w:eastAsia="zh-CN" w:bidi="ar-SA"/>
              </w:rPr>
              <w:t>红色文化育人示范区建设工程</w:t>
            </w:r>
          </w:p>
        </w:tc>
      </w:tr>
      <w:tr w14:paraId="01D6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5000" w:type="pct"/>
          </w:tcPr>
          <w:p w14:paraId="6C036C8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建成富有九江特色的红色文化育人体系，红色研学品牌影响力显著提升，育人成效更加凸显。</w:t>
            </w:r>
          </w:p>
          <w:p w14:paraId="7BADE14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51E93E3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trike/>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1.推进红色文化育人课堂。开好讲好《红色文化》地方课程，将抗洪精神等本土红色资源有机融入教学。</w:t>
            </w:r>
          </w:p>
          <w:p w14:paraId="57FF97A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2.打造红色研学实践品牌。做优“沿着习近平总书记的足迹看九江”“跟着课本游九江”等市级红色研学精品线路，积极推进中小学红色实践育人，开好“行走的思政课”。</w:t>
            </w:r>
          </w:p>
          <w:p w14:paraId="1CDD421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3.深化红色文化理论研究。设立九江红色文化研究专项，打造红色基因传承资源库，开展红色基因传承理论研究。</w:t>
            </w:r>
          </w:p>
          <w:p w14:paraId="3338CED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推出10堂红色文化育人“金课”及特色思政课，九江红色研学品牌在省内影响力有效提升。</w:t>
            </w:r>
          </w:p>
        </w:tc>
      </w:tr>
    </w:tbl>
    <w:p w14:paraId="669B276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 w:eastAsia="仿宋_GB2312" w:cs="Times New Roman"/>
          <w:b/>
          <w:bCs/>
          <w:strike w:val="0"/>
          <w:snapToGrid/>
          <w:color w:val="000000"/>
          <w:kern w:val="2"/>
          <w:sz w:val="32"/>
          <w:szCs w:val="32"/>
          <w:lang w:eastAsia="zh-CN"/>
        </w:rPr>
      </w:pPr>
      <w:r>
        <w:rPr>
          <w:rFonts w:hint="eastAsia" w:ascii="仿宋_GB2312" w:hAnsi="仿宋" w:eastAsia="仿宋_GB2312" w:cs="Times New Roman"/>
          <w:b/>
          <w:bCs/>
          <w:strike w:val="0"/>
          <w:snapToGrid/>
          <w:color w:val="000000"/>
          <w:kern w:val="2"/>
          <w:sz w:val="32"/>
          <w:szCs w:val="32"/>
          <w:lang w:val="en-US" w:eastAsia="zh-CN"/>
        </w:rPr>
        <w:t>4.</w:t>
      </w:r>
      <w:r>
        <w:rPr>
          <w:rFonts w:hint="eastAsia" w:ascii="仿宋_GB2312" w:hAnsi="仿宋" w:eastAsia="仿宋_GB2312" w:cs="Times New Roman"/>
          <w:b/>
          <w:bCs/>
          <w:strike w:val="0"/>
          <w:snapToGrid/>
          <w:kern w:val="2"/>
          <w:sz w:val="32"/>
          <w:szCs w:val="32"/>
          <w:lang w:eastAsia="zh-CN"/>
        </w:rPr>
        <w:t>促进学生健康成长与全面发展</w:t>
      </w:r>
    </w:p>
    <w:p w14:paraId="325A98F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trike w:val="0"/>
          <w:snapToGrid/>
          <w:kern w:val="2"/>
          <w:sz w:val="32"/>
          <w:szCs w:val="32"/>
          <w:lang w:eastAsia="zh-CN"/>
        </w:rPr>
      </w:pPr>
      <w:r>
        <w:rPr>
          <w:rFonts w:hint="eastAsia" w:ascii="仿宋_GB2312" w:hAnsi="仿宋" w:eastAsia="仿宋_GB2312" w:cs="Times New Roman"/>
          <w:strike w:val="0"/>
          <w:snapToGrid/>
          <w:kern w:val="2"/>
          <w:sz w:val="32"/>
          <w:szCs w:val="32"/>
          <w:lang w:eastAsia="zh-CN"/>
        </w:rPr>
        <w:t>落实“健康第一”教育理念，实施健康学校建设计划，改善学校卫生健康条件，加强学校食堂设施升级，加大急救设施配备。加强体美劳师资配备和场地器材设施建设，实施学生体质强健计划，保障中小学生每天综合体育活动时间不低于2小时，推行“课间15分钟”，切实降低“小胖墩”“小眼镜”比例，建设校园足球特色学校。实施学校美育浸润行动、劳动习惯养成计划，推进中小幼国防教育一体化建设。</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106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5000" w:type="pct"/>
          </w:tcPr>
          <w:p w14:paraId="59927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 w:eastAsia="仿宋_GB2312" w:cs="Times New Roman"/>
                <w:b w:val="0"/>
                <w:bCs w:val="0"/>
                <w:snapToGrid/>
                <w:color w:val="000000"/>
                <w:kern w:val="2"/>
                <w:sz w:val="32"/>
                <w:szCs w:val="32"/>
                <w:vertAlign w:val="baseline"/>
                <w:lang w:eastAsia="zh-CN"/>
              </w:rPr>
            </w:pPr>
            <w:r>
              <w:rPr>
                <w:rFonts w:hint="eastAsia" w:ascii="华文楷体" w:hAnsi="华文楷体" w:eastAsia="华文楷体" w:cs="华文楷体"/>
                <w:b w:val="0"/>
                <w:bCs w:val="0"/>
                <w:snapToGrid/>
                <w:color w:val="000000"/>
                <w:kern w:val="2"/>
                <w:sz w:val="32"/>
                <w:szCs w:val="32"/>
                <w:lang w:val="en-US" w:eastAsia="zh-CN" w:bidi="ar-SA"/>
              </w:rPr>
              <w:t>重大工程2：</w:t>
            </w:r>
            <w:r>
              <w:rPr>
                <w:rFonts w:hint="eastAsia" w:ascii="黑体" w:hAnsi="黑体" w:eastAsia="黑体" w:cs="黑体"/>
                <w:b w:val="0"/>
                <w:bCs w:val="0"/>
                <w:snapToGrid/>
                <w:color w:val="000000"/>
                <w:kern w:val="2"/>
                <w:sz w:val="32"/>
                <w:szCs w:val="32"/>
                <w:lang w:val="en-US" w:eastAsia="zh-CN" w:bidi="ar-SA"/>
              </w:rPr>
              <w:t>体美劳融合育人强基工程</w:t>
            </w:r>
          </w:p>
        </w:tc>
      </w:tr>
      <w:tr w14:paraId="017B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5000" w:type="pct"/>
          </w:tcPr>
          <w:p w14:paraId="51AFA5D5">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华文楷体" w:hAnsi="华文楷体" w:eastAsia="华文楷体" w:cs="华文楷体"/>
                <w:b w:val="0"/>
                <w:bCs w:val="0"/>
                <w:strike/>
                <w:snapToGrid/>
                <w:color w:val="000000"/>
                <w:kern w:val="2"/>
                <w:sz w:val="28"/>
                <w:szCs w:val="28"/>
                <w:lang w:val="en-US" w:eastAsia="zh-CN"/>
              </w:rPr>
            </w:pPr>
            <w:r>
              <w:rPr>
                <w:rFonts w:hint="eastAsia" w:ascii="黑体" w:hAnsi="黑体" w:eastAsia="黑体" w:cs="黑体"/>
                <w:b w:val="0"/>
                <w:bCs w:val="0"/>
                <w:strike w:val="0"/>
                <w:snapToGrid/>
                <w:color w:val="000000"/>
                <w:kern w:val="2"/>
                <w:sz w:val="28"/>
                <w:szCs w:val="28"/>
                <w:lang w:val="en-US" w:eastAsia="zh-CN"/>
              </w:rPr>
              <w:t>目标：</w:t>
            </w:r>
            <w:r>
              <w:rPr>
                <w:rFonts w:hint="eastAsia" w:ascii="华文楷体" w:hAnsi="华文楷体" w:eastAsia="华文楷体" w:cs="华文楷体"/>
                <w:strike w:val="0"/>
                <w:snapToGrid/>
                <w:kern w:val="2"/>
                <w:sz w:val="28"/>
                <w:szCs w:val="28"/>
                <w:lang w:eastAsia="zh-CN"/>
              </w:rPr>
              <w:t>“五育并举”全面培养体系更加健全，五育融合育人取得明显成效，学生综合素质显著提升。</w:t>
            </w:r>
          </w:p>
          <w:p w14:paraId="501761C1">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黑体" w:hAnsi="黑体" w:eastAsia="黑体" w:cs="黑体"/>
                <w:b w:val="0"/>
                <w:bCs w:val="0"/>
                <w:strike w:val="0"/>
                <w:snapToGrid/>
                <w:color w:val="000000"/>
                <w:kern w:val="2"/>
                <w:sz w:val="28"/>
                <w:szCs w:val="28"/>
                <w:lang w:val="en-US" w:eastAsia="zh-CN"/>
              </w:rPr>
            </w:pPr>
            <w:r>
              <w:rPr>
                <w:rFonts w:hint="eastAsia" w:ascii="黑体" w:hAnsi="黑体" w:eastAsia="黑体" w:cs="黑体"/>
                <w:b w:val="0"/>
                <w:bCs w:val="0"/>
                <w:strike w:val="0"/>
                <w:snapToGrid/>
                <w:color w:val="000000"/>
                <w:kern w:val="2"/>
                <w:sz w:val="28"/>
                <w:szCs w:val="28"/>
                <w:lang w:val="en-US" w:eastAsia="zh-CN"/>
              </w:rPr>
              <w:t>举措：</w:t>
            </w:r>
          </w:p>
          <w:p w14:paraId="420BDAA8">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华文楷体" w:hAnsi="华文楷体" w:eastAsia="华文楷体" w:cs="华文楷体"/>
                <w:snapToGrid/>
                <w:kern w:val="2"/>
                <w:sz w:val="28"/>
                <w:szCs w:val="28"/>
                <w:lang w:eastAsia="zh-CN"/>
              </w:rPr>
            </w:pPr>
            <w:r>
              <w:rPr>
                <w:rFonts w:hint="eastAsia" w:ascii="华文楷体" w:hAnsi="华文楷体" w:eastAsia="华文楷体" w:cs="华文楷体"/>
                <w:snapToGrid/>
                <w:kern w:val="2"/>
                <w:sz w:val="28"/>
                <w:szCs w:val="28"/>
                <w:lang w:eastAsia="zh-CN"/>
              </w:rPr>
              <w:t>1.推动体美劳课程改革。落实体育课程改革任务，建立足球人才贯通培养体系，畅通升学成长通道。推动美育课程建设，联合文化机构共建共享美育基地。强化劳动教育实践课程设计，打造特色劳动研学营地。</w:t>
            </w:r>
          </w:p>
          <w:p w14:paraId="3EA9876F">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华文楷体" w:hAnsi="华文楷体" w:eastAsia="华文楷体" w:cs="华文楷体"/>
                <w:snapToGrid/>
                <w:kern w:val="2"/>
                <w:sz w:val="28"/>
                <w:szCs w:val="28"/>
                <w:lang w:eastAsia="zh-CN"/>
              </w:rPr>
            </w:pPr>
            <w:r>
              <w:rPr>
                <w:rFonts w:hint="eastAsia" w:ascii="华文楷体" w:hAnsi="华文楷体" w:eastAsia="华文楷体" w:cs="华文楷体"/>
                <w:snapToGrid/>
                <w:kern w:val="2"/>
                <w:sz w:val="28"/>
                <w:szCs w:val="28"/>
                <w:lang w:eastAsia="zh-CN"/>
              </w:rPr>
              <w:t>2.打造特色体美劳活动品牌。健全青少年体育赛事体系，办好“庐山杯”“三大球”比赛，推动“班超”、“校超”等赛事活动。常态化开展“协同提质 向美而行”高雅艺术进校园与艺术展演活动。推进中华优秀传统文化传承基地建设。广泛开展青少年劳动技能展示活动。</w:t>
            </w:r>
          </w:p>
          <w:p w14:paraId="45213106">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华文楷体" w:hAnsi="华文楷体" w:eastAsia="华文楷体" w:cs="华文楷体"/>
                <w:b w:val="0"/>
                <w:bCs w:val="0"/>
                <w:strike w:val="0"/>
                <w:snapToGrid/>
                <w:color w:val="000000"/>
                <w:kern w:val="2"/>
                <w:sz w:val="28"/>
                <w:szCs w:val="28"/>
                <w:lang w:val="en-US" w:eastAsia="zh-CN"/>
              </w:rPr>
            </w:pPr>
            <w:r>
              <w:rPr>
                <w:rFonts w:hint="eastAsia" w:ascii="华文楷体" w:hAnsi="华文楷体" w:eastAsia="华文楷体" w:cs="华文楷体"/>
                <w:snapToGrid/>
                <w:kern w:val="2"/>
                <w:sz w:val="28"/>
                <w:szCs w:val="28"/>
                <w:lang w:eastAsia="zh-CN"/>
              </w:rPr>
              <w:t>3.强化体美劳教育资源保障。配齐配强体美劳教师队伍，保障学校体美劳场地设施、器材器具等经费投入。鼓励支持社会场地设施向青少年免费或低收费开放。</w:t>
            </w:r>
          </w:p>
          <w:p w14:paraId="7B30545D">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trike w:val="0"/>
                <w:snapToGrid/>
                <w:color w:val="000000"/>
                <w:kern w:val="2"/>
                <w:sz w:val="28"/>
                <w:szCs w:val="28"/>
                <w:lang w:val="en-US" w:eastAsia="zh-CN"/>
              </w:rPr>
              <w:t>效果：</w:t>
            </w:r>
            <w:r>
              <w:rPr>
                <w:rFonts w:hint="eastAsia" w:ascii="华文楷体" w:hAnsi="华文楷体" w:eastAsia="华文楷体" w:cs="华文楷体"/>
                <w:snapToGrid/>
                <w:kern w:val="2"/>
                <w:sz w:val="28"/>
                <w:szCs w:val="28"/>
                <w:lang w:eastAsia="zh-CN"/>
              </w:rPr>
              <w:t>青少年近视率和肥胖率明显下降。建设全国青少年校园足球特色学校增至150所，推动校园足球竞技水平进入全省前列。建设中华优秀传统文化艺术传承基地增至5个，建设全国示范性学生艺术团10个。</w:t>
            </w:r>
          </w:p>
        </w:tc>
      </w:tr>
    </w:tbl>
    <w:p w14:paraId="5D37145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5</w:t>
      </w:r>
      <w:r>
        <w:rPr>
          <w:rFonts w:hint="eastAsia" w:ascii="仿宋_GB2312" w:hAnsi="仿宋" w:eastAsia="仿宋_GB2312" w:cs="Times New Roman"/>
          <w:b/>
          <w:bCs/>
          <w:snapToGrid/>
          <w:color w:val="000000"/>
          <w:kern w:val="2"/>
          <w:sz w:val="32"/>
          <w:szCs w:val="32"/>
          <w:lang w:eastAsia="zh-CN"/>
        </w:rPr>
        <w:t>.加强语言文字工作和教材建设管理</w:t>
      </w:r>
    </w:p>
    <w:p w14:paraId="53A2BEB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实施国家通用语言文字普及质量提升行动，开展中华经典诵写讲活动和</w:t>
      </w:r>
      <w:r>
        <w:rPr>
          <w:rFonts w:hint="eastAsia" w:ascii="仿宋_GB2312" w:hAnsi="仿宋" w:eastAsia="仿宋_GB2312" w:cs="Times New Roman"/>
          <w:strike w:val="0"/>
          <w:snapToGrid/>
          <w:kern w:val="2"/>
          <w:sz w:val="32"/>
          <w:szCs w:val="32"/>
          <w:lang w:eastAsia="zh-CN"/>
        </w:rPr>
        <w:t>中小学生书法大赛活动</w:t>
      </w:r>
      <w:r>
        <w:rPr>
          <w:rFonts w:hint="eastAsia" w:ascii="仿宋_GB2312" w:hAnsi="仿宋" w:eastAsia="仿宋_GB2312" w:cs="Times New Roman"/>
          <w:snapToGrid/>
          <w:color w:val="000000"/>
          <w:kern w:val="2"/>
          <w:sz w:val="32"/>
          <w:szCs w:val="32"/>
          <w:lang w:eastAsia="zh-CN"/>
        </w:rPr>
        <w:t>，加强中小学经典诗文教育，</w:t>
      </w:r>
      <w:r>
        <w:rPr>
          <w:rFonts w:hint="eastAsia" w:ascii="仿宋_GB2312" w:hAnsi="仿宋" w:eastAsia="仿宋_GB2312" w:cs="Times New Roman"/>
          <w:snapToGrid/>
          <w:color w:val="000000"/>
          <w:kern w:val="2"/>
          <w:sz w:val="32"/>
          <w:szCs w:val="32"/>
          <w:lang w:val="en-US" w:eastAsia="zh-CN"/>
        </w:rPr>
        <w:t>打造大中小学生“庐山诗会”特色诗词活动品牌</w:t>
      </w:r>
      <w:r>
        <w:rPr>
          <w:rFonts w:hint="eastAsia" w:ascii="仿宋_GB2312" w:hAnsi="仿宋" w:eastAsia="仿宋_GB2312" w:cs="Times New Roman"/>
          <w:snapToGrid/>
          <w:color w:val="000000"/>
          <w:kern w:val="2"/>
          <w:sz w:val="32"/>
          <w:szCs w:val="32"/>
          <w:lang w:eastAsia="zh-CN"/>
        </w:rPr>
        <w:t>。落实教材管理分级分类负责机制，</w:t>
      </w:r>
      <w:r>
        <w:rPr>
          <w:rFonts w:hint="eastAsia" w:ascii="仿宋_GB2312" w:hAnsi="仿宋" w:eastAsia="仿宋_GB2312" w:cs="Times New Roman"/>
          <w:strike w:val="0"/>
          <w:snapToGrid/>
          <w:kern w:val="2"/>
          <w:sz w:val="32"/>
          <w:szCs w:val="32"/>
          <w:lang w:eastAsia="zh-CN"/>
        </w:rPr>
        <w:t>规范教辅材料管理</w:t>
      </w:r>
      <w:r>
        <w:rPr>
          <w:rFonts w:hint="eastAsia" w:ascii="仿宋_GB2312" w:hAnsi="仿宋" w:eastAsia="仿宋_GB2312" w:cs="Times New Roman"/>
          <w:snapToGrid/>
          <w:color w:val="000000"/>
          <w:kern w:val="2"/>
          <w:sz w:val="32"/>
          <w:szCs w:val="32"/>
          <w:lang w:eastAsia="zh-CN"/>
        </w:rPr>
        <w:t>。</w:t>
      </w:r>
    </w:p>
    <w:p w14:paraId="47873A8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6</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b/>
          <w:bCs/>
          <w:snapToGrid/>
          <w:color w:val="000000"/>
          <w:kern w:val="2"/>
          <w:sz w:val="32"/>
          <w:szCs w:val="32"/>
          <w:lang w:val="en-US" w:eastAsia="zh-CN"/>
        </w:rPr>
        <w:t>强化校家社</w:t>
      </w:r>
      <w:r>
        <w:rPr>
          <w:rFonts w:hint="eastAsia" w:ascii="仿宋_GB2312" w:hAnsi="仿宋" w:eastAsia="仿宋_GB2312" w:cs="Times New Roman"/>
          <w:b/>
          <w:bCs/>
          <w:snapToGrid/>
          <w:color w:val="000000"/>
          <w:kern w:val="2"/>
          <w:sz w:val="32"/>
          <w:szCs w:val="32"/>
          <w:lang w:eastAsia="zh-CN"/>
        </w:rPr>
        <w:t>协同育人</w:t>
      </w:r>
    </w:p>
    <w:p w14:paraId="11E9E6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健全学校家庭社会协同育人体制机制，</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丰富社会育人资源供给，</w:t>
      </w:r>
      <w:r>
        <w:rPr>
          <w:rFonts w:hint="eastAsia" w:ascii="仿宋_GB2312" w:hAnsi="仿宋" w:eastAsia="仿宋_GB2312" w:cs="Times New Roman"/>
          <w:snapToGrid/>
          <w:color w:val="000000"/>
          <w:kern w:val="2"/>
          <w:sz w:val="32"/>
          <w:szCs w:val="32"/>
          <w:lang w:eastAsia="zh-CN"/>
        </w:rPr>
        <w:t>推动协同育人“教联体”县域全覆盖。</w:t>
      </w:r>
      <w:r>
        <w:rPr>
          <w:rFonts w:hint="eastAsia" w:ascii="仿宋_GB2312" w:hAnsi="仿宋" w:eastAsia="仿宋_GB2312" w:cs="Times New Roman"/>
          <w:snapToGrid/>
          <w:color w:val="000000"/>
          <w:kern w:val="2"/>
          <w:sz w:val="32"/>
          <w:szCs w:val="32"/>
          <w:lang w:val="en-US" w:eastAsia="zh-CN"/>
        </w:rPr>
        <w:t>实施学生心理健康促进行动。推动</w:t>
      </w:r>
      <w:r>
        <w:rPr>
          <w:rFonts w:hint="eastAsia" w:ascii="仿宋_GB2312" w:hAnsi="仿宋" w:eastAsia="仿宋_GB2312" w:cs="Times New Roman"/>
          <w:snapToGrid/>
          <w:color w:val="000000"/>
          <w:kern w:val="2"/>
          <w:sz w:val="32"/>
          <w:szCs w:val="32"/>
          <w:lang w:eastAsia="zh-CN"/>
        </w:rPr>
        <w:t>建立市、县、校三级家庭教育指导中心，加强家庭教育讲师团、指导专家、志愿者三支队伍建设，开展家庭教育咨询、周末讲堂、巡回宣讲等服务。</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E41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tcPr>
          <w:p w14:paraId="5C2A2F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 w:eastAsia="仿宋_GB2312" w:cs="Times New Roman"/>
                <w:b w:val="0"/>
                <w:bCs w:val="0"/>
                <w:snapToGrid/>
                <w:color w:val="000000"/>
                <w:kern w:val="2"/>
                <w:sz w:val="32"/>
                <w:szCs w:val="32"/>
                <w:vertAlign w:val="baseline"/>
                <w:lang w:eastAsia="zh-CN"/>
              </w:rPr>
            </w:pPr>
            <w:r>
              <w:rPr>
                <w:rFonts w:hint="eastAsia" w:ascii="华文楷体" w:hAnsi="华文楷体" w:eastAsia="华文楷体" w:cs="华文楷体"/>
                <w:b w:val="0"/>
                <w:bCs w:val="0"/>
                <w:snapToGrid/>
                <w:color w:val="000000"/>
                <w:kern w:val="2"/>
                <w:sz w:val="32"/>
                <w:szCs w:val="32"/>
                <w:lang w:val="en-US" w:eastAsia="zh-CN" w:bidi="ar-SA"/>
              </w:rPr>
              <w:t>重大工程3：</w:t>
            </w:r>
            <w:r>
              <w:rPr>
                <w:rFonts w:hint="eastAsia" w:ascii="黑体" w:hAnsi="黑体" w:eastAsia="黑体" w:cs="黑体"/>
                <w:b w:val="0"/>
                <w:bCs w:val="0"/>
                <w:snapToGrid/>
                <w:color w:val="000000"/>
                <w:kern w:val="2"/>
                <w:sz w:val="32"/>
                <w:szCs w:val="32"/>
                <w:lang w:val="en-US" w:eastAsia="zh-CN" w:bidi="ar-SA"/>
              </w:rPr>
              <w:t>学生心理健康促进工程</w:t>
            </w:r>
          </w:p>
        </w:tc>
      </w:tr>
      <w:tr w14:paraId="2C99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5000" w:type="pct"/>
          </w:tcPr>
          <w:p w14:paraId="5CC61FC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家校社协同育人工作机制更加完善，学生心理健康素养全面提升。</w:t>
            </w:r>
          </w:p>
          <w:p w14:paraId="2F7E042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412580A3">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560" w:firstLineChars="200"/>
              <w:jc w:val="both"/>
              <w:textAlignment w:val="auto"/>
              <w:rPr>
                <w:rFonts w:hint="default" w:ascii="华文楷体" w:hAnsi="华文楷体" w:eastAsia="华文楷体" w:cs="华文楷体"/>
                <w:b w:val="0"/>
                <w:bCs w:val="0"/>
                <w:snapToGrid/>
                <w:color w:val="000000"/>
                <w:kern w:val="2"/>
                <w:sz w:val="28"/>
                <w:szCs w:val="28"/>
                <w:lang w:val="en-US" w:eastAsia="zh-CN"/>
              </w:rPr>
            </w:pPr>
            <w:r>
              <w:rPr>
                <w:rFonts w:hint="default" w:ascii="华文楷体" w:hAnsi="华文楷体" w:eastAsia="华文楷体" w:cs="华文楷体"/>
                <w:b w:val="0"/>
                <w:bCs w:val="0"/>
                <w:snapToGrid/>
                <w:color w:val="000000"/>
                <w:kern w:val="2"/>
                <w:sz w:val="28"/>
                <w:szCs w:val="28"/>
                <w:lang w:val="en-US" w:eastAsia="zh-CN"/>
              </w:rPr>
              <w:t>培育积极心理品质。开展学生心理健康科普宣传教育，鼓励和支持学生参与各项体能活动</w:t>
            </w:r>
            <w:r>
              <w:rPr>
                <w:rFonts w:hint="eastAsia" w:ascii="华文楷体" w:hAnsi="华文楷体" w:eastAsia="华文楷体" w:cs="华文楷体"/>
                <w:b w:val="0"/>
                <w:bCs w:val="0"/>
                <w:snapToGrid/>
                <w:color w:val="000000"/>
                <w:kern w:val="2"/>
                <w:sz w:val="28"/>
                <w:szCs w:val="28"/>
                <w:lang w:val="en-US" w:eastAsia="zh-CN"/>
              </w:rPr>
              <w:t>，促进健康心理的养成</w:t>
            </w:r>
            <w:r>
              <w:rPr>
                <w:rFonts w:hint="default" w:ascii="华文楷体" w:hAnsi="华文楷体" w:eastAsia="华文楷体" w:cs="华文楷体"/>
                <w:b w:val="0"/>
                <w:bCs w:val="0"/>
                <w:snapToGrid/>
                <w:color w:val="000000"/>
                <w:kern w:val="2"/>
                <w:sz w:val="28"/>
                <w:szCs w:val="28"/>
                <w:lang w:val="en-US" w:eastAsia="zh-CN"/>
              </w:rPr>
              <w:t>。</w:t>
            </w:r>
          </w:p>
          <w:p w14:paraId="6648C1C6">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560" w:firstLineChars="200"/>
              <w:jc w:val="both"/>
              <w:textAlignment w:val="auto"/>
              <w:rPr>
                <w:rFonts w:hint="default" w:ascii="华文楷体" w:hAnsi="华文楷体" w:eastAsia="华文楷体" w:cs="华文楷体"/>
                <w:b w:val="0"/>
                <w:bCs w:val="0"/>
                <w:snapToGrid/>
                <w:color w:val="000000"/>
                <w:kern w:val="2"/>
                <w:sz w:val="28"/>
                <w:szCs w:val="28"/>
                <w:lang w:val="en-US" w:eastAsia="zh-CN"/>
              </w:rPr>
            </w:pPr>
            <w:r>
              <w:rPr>
                <w:rFonts w:hint="default" w:ascii="华文楷体" w:hAnsi="华文楷体" w:eastAsia="华文楷体" w:cs="华文楷体"/>
                <w:b w:val="0"/>
                <w:bCs w:val="0"/>
                <w:snapToGrid/>
                <w:color w:val="000000"/>
                <w:kern w:val="2"/>
                <w:sz w:val="28"/>
                <w:szCs w:val="28"/>
                <w:lang w:val="en-US" w:eastAsia="zh-CN"/>
              </w:rPr>
              <w:t>创造良好教育环境。健全学生心理健康监测预警和危机干预机制，运用人工智能、大数据技术开展心理健康筛查与数据分析。配齐建强中小学专兼职心理健康教师队伍</w:t>
            </w:r>
            <w:r>
              <w:rPr>
                <w:rFonts w:hint="eastAsia" w:ascii="华文楷体" w:hAnsi="华文楷体" w:eastAsia="华文楷体" w:cs="华文楷体"/>
                <w:b w:val="0"/>
                <w:bCs w:val="0"/>
                <w:snapToGrid/>
                <w:color w:val="000000"/>
                <w:kern w:val="2"/>
                <w:sz w:val="28"/>
                <w:szCs w:val="28"/>
                <w:lang w:val="en-US" w:eastAsia="zh-CN"/>
              </w:rPr>
              <w:t>，</w:t>
            </w:r>
            <w:r>
              <w:rPr>
                <w:rFonts w:hint="default" w:ascii="华文楷体" w:hAnsi="华文楷体" w:eastAsia="华文楷体" w:cs="华文楷体"/>
                <w:b w:val="0"/>
                <w:bCs w:val="0"/>
                <w:snapToGrid/>
                <w:color w:val="000000"/>
                <w:kern w:val="2"/>
                <w:sz w:val="28"/>
                <w:szCs w:val="28"/>
                <w:lang w:val="en-US" w:eastAsia="zh-CN"/>
              </w:rPr>
              <w:t>推进家校社全员协同参与、知识全学段普及、理念全学科渗透、培训全方位覆盖、大中小一体化全过程融通的“五全育心计划”。</w:t>
            </w:r>
          </w:p>
          <w:p w14:paraId="3189CAF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560" w:firstLineChars="200"/>
              <w:jc w:val="both"/>
              <w:textAlignment w:val="auto"/>
              <w:rPr>
                <w:rFonts w:hint="default" w:ascii="华文楷体" w:hAnsi="华文楷体" w:eastAsia="华文楷体" w:cs="华文楷体"/>
                <w:b w:val="0"/>
                <w:bCs w:val="0"/>
                <w:snapToGrid/>
                <w:color w:val="000000"/>
                <w:kern w:val="2"/>
                <w:sz w:val="28"/>
                <w:szCs w:val="28"/>
                <w:lang w:val="en-US" w:eastAsia="zh-CN"/>
              </w:rPr>
            </w:pPr>
            <w:r>
              <w:rPr>
                <w:rFonts w:hint="default" w:ascii="华文楷体" w:hAnsi="华文楷体" w:eastAsia="华文楷体" w:cs="华文楷体"/>
                <w:b w:val="0"/>
                <w:bCs w:val="0"/>
                <w:snapToGrid/>
                <w:color w:val="000000"/>
                <w:kern w:val="2"/>
                <w:sz w:val="28"/>
                <w:szCs w:val="28"/>
                <w:lang w:val="en-US" w:eastAsia="zh-CN"/>
              </w:rPr>
              <w:t>完善心理服务体系。推进各级学生心理健康咨询中心和学校家庭教育中心等建设，指导家长承担起家庭教育主体责任；整合社会资源，搭建心理服务平台，推动学生心理问题早发现、早诊断、早治疗。</w:t>
            </w:r>
          </w:p>
          <w:p w14:paraId="52130B2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default" w:ascii="黑体" w:hAnsi="黑体" w:eastAsia="黑体" w:cs="黑体"/>
                <w:b w:val="0"/>
                <w:bCs w:val="0"/>
                <w:snapToGrid/>
                <w:color w:val="000000"/>
                <w:kern w:val="2"/>
                <w:sz w:val="28"/>
                <w:szCs w:val="28"/>
                <w:lang w:val="en-US" w:eastAsia="zh-CN"/>
              </w:rPr>
              <w:t>效果：</w:t>
            </w:r>
            <w:r>
              <w:rPr>
                <w:rFonts w:hint="default" w:ascii="华文楷体" w:hAnsi="华文楷体" w:eastAsia="华文楷体" w:cs="华文楷体"/>
                <w:b w:val="0"/>
                <w:bCs w:val="0"/>
                <w:snapToGrid/>
                <w:color w:val="000000"/>
                <w:kern w:val="2"/>
                <w:sz w:val="28"/>
                <w:szCs w:val="28"/>
                <w:lang w:val="en-US" w:eastAsia="zh-CN"/>
              </w:rPr>
              <w:t>建立协同育人“教联体”县域</w:t>
            </w:r>
            <w:r>
              <w:rPr>
                <w:rFonts w:hint="eastAsia" w:ascii="华文楷体" w:hAnsi="华文楷体" w:eastAsia="华文楷体" w:cs="华文楷体"/>
                <w:b w:val="0"/>
                <w:bCs w:val="0"/>
                <w:snapToGrid/>
                <w:color w:val="000000"/>
                <w:kern w:val="2"/>
                <w:sz w:val="28"/>
                <w:szCs w:val="28"/>
                <w:lang w:val="en-US" w:eastAsia="zh-CN"/>
              </w:rPr>
              <w:t>全覆盖，</w:t>
            </w:r>
            <w:r>
              <w:rPr>
                <w:rFonts w:hint="default" w:ascii="华文楷体" w:hAnsi="华文楷体" w:eastAsia="华文楷体" w:cs="华文楷体"/>
                <w:b w:val="0"/>
                <w:bCs w:val="0"/>
                <w:snapToGrid/>
                <w:color w:val="000000"/>
                <w:kern w:val="2"/>
                <w:sz w:val="28"/>
                <w:szCs w:val="28"/>
                <w:lang w:val="en-US" w:eastAsia="zh-CN"/>
              </w:rPr>
              <w:t>中小学家长学校和家委会覆盖率达到100%</w:t>
            </w:r>
            <w:r>
              <w:rPr>
                <w:rFonts w:hint="eastAsia" w:ascii="华文楷体" w:hAnsi="华文楷体" w:eastAsia="华文楷体" w:cs="华文楷体"/>
                <w:b w:val="0"/>
                <w:bCs w:val="0"/>
                <w:snapToGrid/>
                <w:color w:val="000000"/>
                <w:kern w:val="2"/>
                <w:sz w:val="28"/>
                <w:szCs w:val="28"/>
                <w:lang w:val="en-US" w:eastAsia="zh-CN"/>
              </w:rPr>
              <w:t>，</w:t>
            </w:r>
            <w:r>
              <w:rPr>
                <w:rFonts w:hint="default" w:ascii="华文楷体" w:hAnsi="华文楷体" w:eastAsia="华文楷体" w:cs="华文楷体"/>
                <w:b w:val="0"/>
                <w:bCs w:val="0"/>
                <w:snapToGrid/>
                <w:color w:val="000000"/>
                <w:kern w:val="2"/>
                <w:sz w:val="28"/>
                <w:szCs w:val="28"/>
                <w:lang w:val="en-US" w:eastAsia="zh-CN"/>
              </w:rPr>
              <w:t>县域心理健康教育辅导中心建设率达</w:t>
            </w:r>
            <w:r>
              <w:rPr>
                <w:rFonts w:hint="eastAsia" w:ascii="华文楷体" w:hAnsi="华文楷体" w:eastAsia="华文楷体" w:cs="华文楷体"/>
                <w:b w:val="0"/>
                <w:bCs w:val="0"/>
                <w:strike w:val="0"/>
                <w:snapToGrid/>
                <w:color w:val="000000"/>
                <w:kern w:val="2"/>
                <w:sz w:val="28"/>
                <w:szCs w:val="28"/>
                <w:lang w:val="en-US" w:eastAsia="zh-CN"/>
              </w:rPr>
              <w:t>100%</w:t>
            </w:r>
            <w:r>
              <w:rPr>
                <w:rFonts w:hint="default" w:ascii="仿宋_GB2312" w:hAnsi="仿宋" w:eastAsia="仿宋_GB2312" w:cs="Times New Roman"/>
                <w:b w:val="0"/>
                <w:bCs w:val="0"/>
                <w:snapToGrid/>
                <w:color w:val="000000"/>
                <w:kern w:val="2"/>
                <w:sz w:val="32"/>
                <w:szCs w:val="32"/>
                <w:lang w:val="en-US" w:eastAsia="zh-CN"/>
              </w:rPr>
              <w:t>。</w:t>
            </w:r>
          </w:p>
        </w:tc>
      </w:tr>
    </w:tbl>
    <w:p w14:paraId="263380EB">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val="en-US" w:eastAsia="zh-CN"/>
        </w:rPr>
      </w:pPr>
      <w:r>
        <w:rPr>
          <w:rFonts w:hint="eastAsia" w:ascii="楷体_GB2312" w:hAnsi="仿宋" w:eastAsia="楷体_GB2312" w:cs="宋体"/>
          <w:b/>
          <w:bCs/>
          <w:snapToGrid/>
          <w:color w:val="000000"/>
          <w:kern w:val="0"/>
          <w:sz w:val="32"/>
          <w:szCs w:val="32"/>
          <w:lang w:eastAsia="zh-CN"/>
        </w:rPr>
        <w:t>（二）</w:t>
      </w:r>
      <w:r>
        <w:rPr>
          <w:rFonts w:hint="eastAsia" w:ascii="楷体_GB2312" w:hAnsi="仿宋" w:eastAsia="楷体_GB2312" w:cs="宋体"/>
          <w:b/>
          <w:bCs/>
          <w:snapToGrid/>
          <w:color w:val="000000"/>
          <w:kern w:val="0"/>
          <w:sz w:val="32"/>
          <w:szCs w:val="32"/>
          <w:lang w:val="en-US" w:eastAsia="zh-CN"/>
        </w:rPr>
        <w:t>加强</w:t>
      </w:r>
      <w:r>
        <w:rPr>
          <w:rFonts w:hint="eastAsia" w:ascii="楷体_GB2312" w:hAnsi="仿宋" w:eastAsia="楷体_GB2312" w:cs="宋体"/>
          <w:b/>
          <w:bCs/>
          <w:snapToGrid/>
          <w:color w:val="000000"/>
          <w:kern w:val="0"/>
          <w:sz w:val="32"/>
          <w:szCs w:val="32"/>
          <w:lang w:eastAsia="zh-CN"/>
        </w:rPr>
        <w:t>基础教育</w:t>
      </w:r>
      <w:r>
        <w:rPr>
          <w:rFonts w:hint="eastAsia" w:ascii="楷体_GB2312" w:hAnsi="仿宋" w:eastAsia="楷体_GB2312" w:cs="宋体"/>
          <w:b/>
          <w:bCs/>
          <w:snapToGrid/>
          <w:color w:val="000000"/>
          <w:kern w:val="0"/>
          <w:sz w:val="32"/>
          <w:szCs w:val="32"/>
          <w:lang w:val="en-US" w:eastAsia="zh-CN"/>
        </w:rPr>
        <w:t>扩优提质</w:t>
      </w:r>
    </w:p>
    <w:p w14:paraId="0CC444B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1</w:t>
      </w:r>
      <w:r>
        <w:rPr>
          <w:rFonts w:hint="eastAsia" w:ascii="仿宋_GB2312" w:hAnsi="仿宋" w:eastAsia="仿宋_GB2312" w:cs="Times New Roman"/>
          <w:b/>
          <w:bCs/>
          <w:snapToGrid/>
          <w:color w:val="000000"/>
          <w:kern w:val="2"/>
          <w:sz w:val="32"/>
          <w:szCs w:val="32"/>
          <w:lang w:eastAsia="zh-CN"/>
        </w:rPr>
        <w:t>.统筹调配基础教育资源</w:t>
      </w:r>
    </w:p>
    <w:p w14:paraId="4B4E9C3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建立学龄人口变化监测预警</w:t>
      </w:r>
      <w:r>
        <w:rPr>
          <w:rFonts w:hint="eastAsia" w:ascii="仿宋_GB2312" w:hAnsi="仿宋" w:eastAsia="仿宋_GB2312" w:cs="Times New Roman"/>
          <w:snapToGrid/>
          <w:color w:val="000000"/>
          <w:kern w:val="2"/>
          <w:sz w:val="32"/>
          <w:szCs w:val="32"/>
          <w:lang w:val="en-US" w:eastAsia="zh-CN"/>
        </w:rPr>
        <w:t>机制</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推动各学段</w:t>
      </w:r>
      <w:r>
        <w:rPr>
          <w:rFonts w:hint="eastAsia" w:ascii="仿宋_GB2312" w:hAnsi="仿宋" w:eastAsia="仿宋_GB2312" w:cs="Times New Roman"/>
          <w:snapToGrid/>
          <w:color w:val="000000"/>
          <w:kern w:val="2"/>
          <w:sz w:val="32"/>
          <w:szCs w:val="32"/>
          <w:lang w:eastAsia="zh-CN"/>
        </w:rPr>
        <w:t>教育资源统筹调配</w:t>
      </w:r>
      <w:r>
        <w:rPr>
          <w:rFonts w:hint="eastAsia" w:ascii="仿宋_GB2312" w:hAnsi="仿宋" w:eastAsia="仿宋_GB2312" w:cs="Times New Roman"/>
          <w:snapToGrid/>
          <w:color w:val="000000"/>
          <w:kern w:val="2"/>
          <w:sz w:val="32"/>
          <w:szCs w:val="32"/>
          <w:lang w:val="en-US" w:eastAsia="zh-CN"/>
        </w:rPr>
        <w:t>，强化动态供给</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推进“市县结合”的基础教育管理改革，</w:t>
      </w:r>
      <w:r>
        <w:rPr>
          <w:rFonts w:hint="eastAsia" w:ascii="仿宋_GB2312" w:hAnsi="仿宋" w:eastAsia="仿宋_GB2312" w:cs="Times New Roman"/>
          <w:snapToGrid/>
          <w:color w:val="000000"/>
          <w:kern w:val="2"/>
          <w:sz w:val="32"/>
          <w:szCs w:val="32"/>
          <w:lang w:eastAsia="zh-CN"/>
        </w:rPr>
        <w:t>加大教职工编制统筹</w:t>
      </w:r>
      <w:r>
        <w:rPr>
          <w:rFonts w:hint="eastAsia" w:ascii="仿宋_GB2312" w:hAnsi="仿宋" w:eastAsia="仿宋_GB2312" w:cs="Times New Roman"/>
          <w:snapToGrid/>
          <w:color w:val="000000"/>
          <w:kern w:val="2"/>
          <w:sz w:val="32"/>
          <w:szCs w:val="32"/>
          <w:lang w:val="en-US" w:eastAsia="zh-CN"/>
        </w:rPr>
        <w:t>配置和调整</w:t>
      </w:r>
      <w:r>
        <w:rPr>
          <w:rFonts w:hint="eastAsia" w:ascii="仿宋_GB2312" w:hAnsi="仿宋" w:eastAsia="仿宋_GB2312" w:cs="Times New Roman"/>
          <w:snapToGrid/>
          <w:color w:val="000000"/>
          <w:kern w:val="2"/>
          <w:sz w:val="32"/>
          <w:szCs w:val="32"/>
          <w:lang w:eastAsia="zh-CN"/>
        </w:rPr>
        <w:t>力度，推动中小学教师跨区域、跨学校、跨学段合理流动</w:t>
      </w:r>
      <w:r>
        <w:rPr>
          <w:rFonts w:hint="eastAsia" w:ascii="仿宋_GB2312" w:hAnsi="仿宋" w:eastAsia="仿宋_GB2312" w:cs="Times New Roman"/>
          <w:snapToGrid/>
          <w:color w:val="000000"/>
          <w:kern w:val="2"/>
          <w:sz w:val="32"/>
          <w:szCs w:val="32"/>
          <w:lang w:val="en-US" w:eastAsia="zh-CN"/>
        </w:rPr>
        <w:t>和余缺调配</w:t>
      </w:r>
      <w:r>
        <w:rPr>
          <w:rFonts w:hint="eastAsia" w:ascii="仿宋_GB2312" w:hAnsi="仿宋" w:eastAsia="仿宋_GB2312" w:cs="Times New Roman"/>
          <w:snapToGrid/>
          <w:color w:val="000000"/>
          <w:kern w:val="2"/>
          <w:sz w:val="32"/>
          <w:szCs w:val="32"/>
          <w:lang w:eastAsia="zh-CN"/>
        </w:rPr>
        <w:t>。提升基础教育资源配置效率，</w:t>
      </w:r>
      <w:r>
        <w:rPr>
          <w:rFonts w:hint="eastAsia" w:ascii="仿宋_GB2312" w:hAnsi="仿宋" w:eastAsia="仿宋_GB2312" w:cs="Times New Roman"/>
          <w:snapToGrid/>
          <w:color w:val="000000"/>
          <w:kern w:val="2"/>
          <w:sz w:val="32"/>
          <w:szCs w:val="32"/>
          <w:lang w:val="en-US" w:eastAsia="zh-CN"/>
        </w:rPr>
        <w:t>有序扩大城镇学位供给</w:t>
      </w:r>
      <w:r>
        <w:rPr>
          <w:rFonts w:hint="eastAsia" w:ascii="仿宋_GB2312" w:hAnsi="仿宋" w:eastAsia="仿宋_GB2312" w:cs="Times New Roman"/>
          <w:snapToGrid/>
          <w:color w:val="000000"/>
          <w:kern w:val="2"/>
          <w:sz w:val="32"/>
          <w:szCs w:val="32"/>
          <w:lang w:eastAsia="zh-CN"/>
        </w:rPr>
        <w:t>，确保普通高中阶段平稳渡峰。</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257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000" w:type="pct"/>
          </w:tcPr>
          <w:p w14:paraId="208674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重大工程4：</w:t>
            </w:r>
            <w:r>
              <w:rPr>
                <w:rFonts w:hint="eastAsia" w:ascii="黑体" w:hAnsi="黑体" w:eastAsia="黑体" w:cs="黑体"/>
                <w:b w:val="0"/>
                <w:bCs w:val="0"/>
                <w:snapToGrid/>
                <w:color w:val="000000"/>
                <w:kern w:val="2"/>
                <w:sz w:val="32"/>
                <w:szCs w:val="32"/>
                <w:lang w:val="en-US" w:eastAsia="zh-CN" w:bidi="ar-SA"/>
              </w:rPr>
              <w:t>适应人口变化的基础教育资源配置工程</w:t>
            </w:r>
          </w:p>
        </w:tc>
      </w:tr>
      <w:tr w14:paraId="2C00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01346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科学应对学龄人口变化，教育资源配置更加合理，跨学段动态调整机制有效运行。</w:t>
            </w:r>
          </w:p>
          <w:p w14:paraId="624CE88B">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3E5221A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1.优化学校规划布局。开展学龄人口变化趋势预测，系统性调适中心城区教育资源布局，推动老城减压提质、新区赋能崛起。</w:t>
            </w:r>
          </w:p>
          <w:p w14:paraId="56EA04C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2.加强资源统筹调配。推动县域内学校宿舍等资源贯通使用。探索生师比与班师比相结合的师资配备。统筹配置高中阶段教育资源，有效增加普通高中教育资源供给。</w:t>
            </w:r>
          </w:p>
          <w:p w14:paraId="7E943B8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3.巩固拓展县域义务教育资源配置改革成果。常态化推进乡村小规模学校资源优化配置，提高农村学生上学交通服务保障水平。</w:t>
            </w:r>
          </w:p>
          <w:p w14:paraId="3910238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学校网点布局与人口分布匹配度显著提高，教育资源跨学段动态调整更加有效，各学段学位供给紧张局面有效缓解。</w:t>
            </w:r>
          </w:p>
        </w:tc>
      </w:tr>
    </w:tbl>
    <w:p w14:paraId="78AEE27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2</w:t>
      </w:r>
      <w:r>
        <w:rPr>
          <w:rFonts w:hint="eastAsia" w:ascii="仿宋_GB2312" w:hAnsi="仿宋" w:eastAsia="仿宋_GB2312" w:cs="Times New Roman"/>
          <w:b/>
          <w:bCs/>
          <w:snapToGrid/>
          <w:color w:val="000000"/>
          <w:kern w:val="2"/>
          <w:sz w:val="32"/>
          <w:szCs w:val="32"/>
          <w:lang w:eastAsia="zh-CN"/>
        </w:rPr>
        <w:t>.加快学前教育优质普惠</w:t>
      </w:r>
    </w:p>
    <w:p w14:paraId="794739B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实施学前教育优质普惠发展计划，推进标准化幼儿园建设。</w:t>
      </w:r>
      <w:r>
        <w:rPr>
          <w:rFonts w:hint="eastAsia" w:ascii="仿宋_GB2312" w:hAnsi="仿宋" w:eastAsia="仿宋_GB2312" w:cs="Times New Roman"/>
          <w:snapToGrid/>
          <w:color w:val="000000"/>
          <w:kern w:val="2"/>
          <w:sz w:val="32"/>
          <w:szCs w:val="32"/>
          <w:lang w:val="en-US" w:eastAsia="zh-CN"/>
        </w:rPr>
        <w:t>探索</w:t>
      </w:r>
      <w:r>
        <w:rPr>
          <w:rFonts w:hint="eastAsia" w:ascii="仿宋_GB2312" w:hAnsi="仿宋" w:eastAsia="仿宋_GB2312" w:cs="Times New Roman"/>
          <w:snapToGrid/>
          <w:color w:val="000000"/>
          <w:kern w:val="2"/>
          <w:sz w:val="32"/>
          <w:szCs w:val="32"/>
          <w:lang w:eastAsia="zh-CN"/>
        </w:rPr>
        <w:t>办园体制机制创新，推进幼儿园镇村一体化管理和城区幼儿园集团化办园。稳步增加公办幼儿园学位供给，</w:t>
      </w:r>
      <w:r>
        <w:rPr>
          <w:rFonts w:hint="eastAsia" w:ascii="仿宋_GB2312" w:hAnsi="仿宋" w:eastAsia="仿宋_GB2312" w:cs="Times New Roman"/>
          <w:snapToGrid/>
          <w:color w:val="000000"/>
          <w:kern w:val="2"/>
          <w:sz w:val="32"/>
          <w:szCs w:val="32"/>
          <w:lang w:val="en-US" w:eastAsia="zh-CN"/>
        </w:rPr>
        <w:t>推进幼小科学衔接</w:t>
      </w:r>
      <w:r>
        <w:rPr>
          <w:rFonts w:hint="eastAsia" w:ascii="仿宋_GB2312" w:hAnsi="仿宋" w:eastAsia="仿宋_GB2312" w:cs="Times New Roman"/>
          <w:snapToGrid/>
          <w:color w:val="000000"/>
          <w:kern w:val="2"/>
          <w:sz w:val="32"/>
          <w:szCs w:val="32"/>
          <w:lang w:eastAsia="zh-CN"/>
        </w:rPr>
        <w:t>，规范办园行为。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095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0" w:type="pct"/>
          </w:tcPr>
          <w:p w14:paraId="2D8EB2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重大工程5：</w:t>
            </w:r>
            <w:r>
              <w:rPr>
                <w:rFonts w:hint="eastAsia" w:ascii="黑体" w:hAnsi="黑体" w:eastAsia="黑体" w:cs="黑体"/>
                <w:b w:val="0"/>
                <w:bCs w:val="0"/>
                <w:snapToGrid/>
                <w:color w:val="000000"/>
                <w:kern w:val="2"/>
                <w:sz w:val="32"/>
                <w:szCs w:val="32"/>
                <w:lang w:val="en-US" w:eastAsia="zh-CN" w:bidi="ar-SA"/>
              </w:rPr>
              <w:t>学前教育优质普惠攻坚工程</w:t>
            </w:r>
          </w:p>
        </w:tc>
      </w:tr>
      <w:tr w14:paraId="3809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A285F6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优质普惠性学前教育资源显著扩大，保障机制更加健全，构建优质普惠的学期教育公共服务体系。</w:t>
            </w:r>
          </w:p>
          <w:p w14:paraId="4527554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2495483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1.加大学前教育投入。在人口增加区域稳步增加优质公办园位，适时提高公办幼儿园生均公用经费和普惠性民办幼儿园生均补贴标准。稳步减免保育教育费。</w:t>
            </w:r>
          </w:p>
          <w:p w14:paraId="37E1B4B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2.强化师资待遇保障。推动公办幼儿园教职工编制配备建设，落实公办幼儿园教师工资待遇政策，稳步推进同工同酬。</w:t>
            </w:r>
          </w:p>
          <w:p w14:paraId="1DBECEA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3.提高保育教育质量。推动城区与乡镇幼儿园结对帮扶，推进幼小科学衔接，加大教师培训力度，逐步提高幼儿园专任教师学历层次。</w:t>
            </w:r>
          </w:p>
          <w:p w14:paraId="07B896C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学前三年毛入园率达到98.8%，公办幼儿园在园幼儿占比达到70%；全市域达到学前教育普及普惠国家督导评估认定标准</w:t>
            </w:r>
            <w:r>
              <w:rPr>
                <w:rFonts w:hint="eastAsia" w:ascii="华文楷体" w:hAnsi="华文楷体" w:eastAsia="华文楷体" w:cs="华文楷体"/>
                <w:b w:val="0"/>
                <w:bCs w:val="0"/>
                <w:snapToGrid/>
                <w:color w:val="000000" w:themeColor="text1"/>
                <w:kern w:val="2"/>
                <w:sz w:val="28"/>
                <w:szCs w:val="28"/>
                <w:lang w:val="en-US" w:eastAsia="zh-CN"/>
                <w14:textFill>
                  <w14:solidFill>
                    <w14:schemeClr w14:val="tx1"/>
                  </w14:solidFill>
                </w14:textFill>
              </w:rPr>
              <w:t>。</w:t>
            </w:r>
          </w:p>
        </w:tc>
      </w:tr>
    </w:tbl>
    <w:p w14:paraId="6CC07C8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3</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b/>
          <w:bCs/>
          <w:snapToGrid/>
          <w:color w:val="000000"/>
          <w:kern w:val="2"/>
          <w:sz w:val="32"/>
          <w:szCs w:val="32"/>
          <w:lang w:val="en-US" w:eastAsia="zh-CN"/>
        </w:rPr>
        <w:t>促进</w:t>
      </w:r>
      <w:r>
        <w:rPr>
          <w:rFonts w:hint="eastAsia" w:ascii="仿宋_GB2312" w:hAnsi="仿宋" w:eastAsia="仿宋_GB2312" w:cs="Times New Roman"/>
          <w:b/>
          <w:bCs/>
          <w:snapToGrid/>
          <w:color w:val="000000"/>
          <w:kern w:val="2"/>
          <w:sz w:val="32"/>
          <w:szCs w:val="32"/>
          <w:lang w:eastAsia="zh-CN"/>
        </w:rPr>
        <w:t>义务教育优质均衡</w:t>
      </w:r>
    </w:p>
    <w:p w14:paraId="751302C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加强义务教育学校标准化建设</w:t>
      </w:r>
      <w:r>
        <w:rPr>
          <w:rFonts w:hint="eastAsia" w:ascii="仿宋_GB2312" w:hAnsi="仿宋" w:eastAsia="仿宋_GB2312" w:cs="Times New Roman"/>
          <w:snapToGrid/>
          <w:color w:val="000000"/>
          <w:kern w:val="2"/>
          <w:sz w:val="32"/>
          <w:szCs w:val="32"/>
          <w:lang w:eastAsia="zh-CN"/>
        </w:rPr>
        <w:t>，办好乡镇中心学校和必要的乡村小规模学校，</w:t>
      </w:r>
      <w:r>
        <w:rPr>
          <w:rFonts w:hint="eastAsia" w:ascii="仿宋_GB2312" w:hAnsi="仿宋" w:eastAsia="仿宋_GB2312" w:cs="Times New Roman"/>
          <w:snapToGrid/>
          <w:color w:val="000000"/>
          <w:kern w:val="2"/>
          <w:sz w:val="32"/>
          <w:szCs w:val="32"/>
          <w:lang w:val="en-US" w:eastAsia="zh-CN"/>
        </w:rPr>
        <w:t>深入推进</w:t>
      </w:r>
      <w:r>
        <w:rPr>
          <w:rFonts w:hint="eastAsia" w:ascii="仿宋_GB2312" w:hAnsi="仿宋" w:eastAsia="仿宋_GB2312" w:cs="Times New Roman"/>
          <w:snapToGrid/>
          <w:color w:val="000000"/>
          <w:kern w:val="2"/>
          <w:sz w:val="32"/>
          <w:szCs w:val="32"/>
          <w:lang w:eastAsia="zh-CN"/>
        </w:rPr>
        <w:t>集团化办学和</w:t>
      </w:r>
      <w:r>
        <w:rPr>
          <w:rFonts w:hint="eastAsia" w:ascii="仿宋_GB2312" w:hAnsi="仿宋" w:eastAsia="仿宋_GB2312" w:cs="Times New Roman"/>
          <w:snapToGrid/>
          <w:color w:val="000000"/>
          <w:kern w:val="2"/>
          <w:sz w:val="32"/>
          <w:szCs w:val="32"/>
          <w:lang w:val="en-US" w:eastAsia="zh-CN"/>
        </w:rPr>
        <w:t>城乡学校共同体建设</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有序探索</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推进</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小班化教学</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深化义务教育课程教学改革，扩大优质课程供给，</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加强</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义务教育质量监测。探索延长义务教育年限。健全农村留守儿童</w:t>
      </w:r>
      <w:r>
        <w:rPr>
          <w:rFonts w:hint="eastAsia" w:ascii="仿宋_GB2312" w:hAnsi="仿宋" w:eastAsia="仿宋_GB2312" w:cs="Times New Roman"/>
          <w:snapToGrid/>
          <w:color w:val="000000"/>
          <w:kern w:val="2"/>
          <w:sz w:val="32"/>
          <w:szCs w:val="32"/>
          <w:lang w:eastAsia="zh-CN"/>
        </w:rPr>
        <w:t>、进城务工人员随迁子女关爱体系，常态化做好控辍保学工作。</w:t>
      </w:r>
    </w:p>
    <w:p w14:paraId="145BA73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4</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b/>
          <w:bCs/>
          <w:snapToGrid/>
          <w:color w:val="000000"/>
          <w:kern w:val="2"/>
          <w:sz w:val="32"/>
          <w:szCs w:val="32"/>
          <w:lang w:val="en-US" w:eastAsia="zh-CN"/>
        </w:rPr>
        <w:t>推动</w:t>
      </w:r>
      <w:r>
        <w:rPr>
          <w:rFonts w:hint="eastAsia" w:ascii="仿宋_GB2312" w:hAnsi="仿宋" w:eastAsia="仿宋_GB2312" w:cs="Times New Roman"/>
          <w:b/>
          <w:bCs/>
          <w:snapToGrid/>
          <w:color w:val="000000"/>
          <w:kern w:val="2"/>
          <w:sz w:val="32"/>
          <w:szCs w:val="32"/>
          <w:lang w:eastAsia="zh-CN"/>
        </w:rPr>
        <w:t>普通高中优质特色</w:t>
      </w:r>
    </w:p>
    <w:p w14:paraId="2B77E35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trike w:val="0"/>
          <w:snapToGrid/>
          <w:color w:val="000000"/>
          <w:kern w:val="2"/>
          <w:sz w:val="32"/>
          <w:szCs w:val="32"/>
          <w:lang w:eastAsia="zh-CN"/>
        </w:rPr>
      </w:pP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实施普通高中扩容达标行动，</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推进</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县域普通高中振兴。</w:t>
      </w:r>
      <w:r>
        <w:rPr>
          <w:rFonts w:hint="eastAsia" w:ascii="仿宋_GB2312" w:hAnsi="仿宋" w:eastAsia="仿宋_GB2312" w:cs="Times New Roman"/>
          <w:snapToGrid/>
          <w:color w:val="000000"/>
          <w:kern w:val="2"/>
          <w:sz w:val="32"/>
          <w:szCs w:val="32"/>
          <w:lang w:eastAsia="zh-CN"/>
        </w:rPr>
        <w:t>支持有条件的中职学校举办综合高中，扩大普通高中学位供给。</w:t>
      </w:r>
      <w:r>
        <w:rPr>
          <w:rFonts w:hint="eastAsia" w:ascii="仿宋_GB2312" w:hAnsi="仿宋" w:eastAsia="仿宋_GB2312" w:cs="Times New Roman"/>
          <w:snapToGrid/>
          <w:color w:val="000000"/>
          <w:kern w:val="2"/>
          <w:sz w:val="32"/>
          <w:szCs w:val="32"/>
          <w:lang w:val="en-US" w:eastAsia="zh-CN"/>
        </w:rPr>
        <w:t>优化提升普通高中建设标准，</w:t>
      </w:r>
      <w:r>
        <w:rPr>
          <w:rFonts w:hint="eastAsia" w:ascii="仿宋_GB2312" w:hAnsi="仿宋" w:eastAsia="仿宋_GB2312" w:cs="Times New Roman"/>
          <w:snapToGrid/>
          <w:color w:val="000000"/>
          <w:kern w:val="2"/>
          <w:sz w:val="32"/>
          <w:szCs w:val="32"/>
          <w:lang w:eastAsia="zh-CN"/>
        </w:rPr>
        <w:t>提高普通高中</w:t>
      </w:r>
      <w:r>
        <w:rPr>
          <w:rFonts w:hint="eastAsia" w:ascii="仿宋_GB2312" w:hAnsi="仿宋" w:eastAsia="仿宋_GB2312" w:cs="Times New Roman"/>
          <w:snapToGrid/>
          <w:color w:val="000000"/>
          <w:kern w:val="2"/>
          <w:sz w:val="32"/>
          <w:szCs w:val="32"/>
          <w:lang w:val="en-US" w:eastAsia="zh-CN"/>
        </w:rPr>
        <w:t>教育事业投入</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推进优质特色发展，建设一批以科学教育、人文教育等为特色的普通高中，探索实行差异化选拔机制，支持学生个性发展和特长培养。</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469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1448D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重大工程6：</w:t>
            </w:r>
            <w:r>
              <w:rPr>
                <w:rFonts w:hint="eastAsia" w:ascii="黑体" w:hAnsi="黑体" w:eastAsia="黑体" w:cs="黑体"/>
                <w:b w:val="0"/>
                <w:bCs w:val="0"/>
                <w:snapToGrid/>
                <w:color w:val="000000"/>
                <w:kern w:val="2"/>
                <w:sz w:val="32"/>
                <w:szCs w:val="32"/>
                <w:lang w:val="en-US" w:eastAsia="zh-CN" w:bidi="ar-SA"/>
              </w:rPr>
              <w:t>县域普通高中振兴工程</w:t>
            </w:r>
          </w:p>
        </w:tc>
      </w:tr>
      <w:tr w14:paraId="68E8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15744B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县中办学条件明显改善，普通高中优质特色发展体系初步形成，办学水平有效提升。</w:t>
            </w:r>
          </w:p>
          <w:p w14:paraId="26B8290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7B5D1F0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auto"/>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1.实施扩容达标行动。盘活资源新改扩建县中，改造升级基本教学和生活设施</w:t>
            </w:r>
            <w:r>
              <w:rPr>
                <w:rFonts w:hint="eastAsia" w:ascii="华文楷体" w:hAnsi="华文楷体" w:eastAsia="华文楷体" w:cs="华文楷体"/>
                <w:b w:val="0"/>
                <w:bCs w:val="0"/>
                <w:snapToGrid/>
                <w:color w:val="auto"/>
                <w:kern w:val="2"/>
                <w:sz w:val="28"/>
                <w:szCs w:val="28"/>
                <w:lang w:val="en-US" w:eastAsia="zh-CN"/>
              </w:rPr>
              <w:t>。科学研判入学人口趋势，合理谋划教育项目。</w:t>
            </w:r>
          </w:p>
          <w:p w14:paraId="5ADDC9A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2.实施内涵建设行动。强化学校选修课程建设，培养学生核心素养，促进学生自主合作探究学习。</w:t>
            </w:r>
          </w:p>
          <w:p w14:paraId="2BB6D3C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3.优化综合保障措施。加强高层次教师引进，探索市域内教师轮岗交流制度。实施头雁教师岗位计划，推动“优师计划”向县中倾斜。组织高校和优质普通高中对口帮扶薄弱县中。</w:t>
            </w:r>
          </w:p>
          <w:p w14:paraId="7D42869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普通高中学位充足，每个县域至少办好1所优质普通高中，县中创新人才培养体系不断完善。</w:t>
            </w:r>
          </w:p>
        </w:tc>
      </w:tr>
    </w:tbl>
    <w:p w14:paraId="6C4937E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5</w:t>
      </w:r>
      <w:r>
        <w:rPr>
          <w:rFonts w:hint="eastAsia" w:ascii="仿宋_GB2312" w:hAnsi="仿宋" w:eastAsia="仿宋_GB2312" w:cs="Times New Roman"/>
          <w:b/>
          <w:bCs/>
          <w:snapToGrid/>
          <w:color w:val="000000"/>
          <w:kern w:val="2"/>
          <w:sz w:val="32"/>
          <w:szCs w:val="32"/>
          <w:lang w:eastAsia="zh-CN"/>
        </w:rPr>
        <w:t>.</w:t>
      </w:r>
      <w:r>
        <w:rPr>
          <w:rFonts w:hint="eastAsia" w:ascii="仿宋_GB2312" w:hAnsi="仿宋" w:eastAsia="仿宋_GB2312" w:cs="Times New Roman"/>
          <w:b/>
          <w:bCs/>
          <w:snapToGrid/>
          <w:color w:val="000000"/>
          <w:kern w:val="2"/>
          <w:sz w:val="32"/>
          <w:szCs w:val="32"/>
          <w:lang w:val="en-US" w:eastAsia="zh-CN"/>
        </w:rPr>
        <w:t>加强</w:t>
      </w:r>
      <w:r>
        <w:rPr>
          <w:rFonts w:hint="eastAsia" w:ascii="仿宋_GB2312" w:hAnsi="仿宋" w:eastAsia="仿宋_GB2312" w:cs="Times New Roman"/>
          <w:b/>
          <w:bCs/>
          <w:snapToGrid/>
          <w:color w:val="000000"/>
          <w:kern w:val="2"/>
          <w:sz w:val="32"/>
          <w:szCs w:val="32"/>
          <w:lang w:eastAsia="zh-CN"/>
        </w:rPr>
        <w:t>特殊教育和专门教育</w:t>
      </w:r>
    </w:p>
    <w:p w14:paraId="3F51D29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trike w:val="0"/>
          <w:snapToGrid/>
          <w:color w:val="000000"/>
          <w:kern w:val="2"/>
          <w:sz w:val="32"/>
          <w:szCs w:val="32"/>
          <w:lang w:eastAsia="zh-CN"/>
        </w:rPr>
      </w:pPr>
      <w:r>
        <w:rPr>
          <w:rFonts w:hint="eastAsia" w:ascii="仿宋_GB2312" w:hAnsi="仿宋" w:eastAsia="仿宋_GB2312" w:cs="Times New Roman"/>
          <w:strike w:val="0"/>
          <w:snapToGrid/>
          <w:kern w:val="2"/>
          <w:sz w:val="32"/>
          <w:szCs w:val="32"/>
          <w:lang w:val="en-US" w:eastAsia="zh-CN"/>
        </w:rPr>
        <w:t>支持</w:t>
      </w:r>
      <w:r>
        <w:rPr>
          <w:rFonts w:hint="eastAsia" w:ascii="仿宋_GB2312" w:hAnsi="仿宋" w:eastAsia="仿宋_GB2312" w:cs="Times New Roman"/>
          <w:strike w:val="0"/>
          <w:snapToGrid/>
          <w:kern w:val="2"/>
          <w:sz w:val="32"/>
          <w:szCs w:val="32"/>
          <w:lang w:eastAsia="zh-CN"/>
        </w:rPr>
        <w:t>人口20万以上县(市、区)办好一所达标特校，推进十五年一贯制办学。</w:t>
      </w:r>
      <w:r>
        <w:rPr>
          <w:rFonts w:hint="eastAsia" w:ascii="仿宋_GB2312" w:hAnsi="仿宋" w:eastAsia="仿宋_GB2312" w:cs="Times New Roman"/>
          <w:snapToGrid/>
          <w:color w:val="000000"/>
          <w:kern w:val="2"/>
          <w:sz w:val="32"/>
          <w:szCs w:val="32"/>
          <w:lang w:eastAsia="zh-CN"/>
        </w:rPr>
        <w:t>建设一批融合教育实验区和实验校，应设尽</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设特教资源教室，建强市县两级特殊教育资源中心。</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保障特殊教育投入。</w:t>
      </w:r>
      <w:r>
        <w:rPr>
          <w:rFonts w:hint="eastAsia" w:ascii="仿宋_GB2312" w:hAnsi="仿宋" w:eastAsia="仿宋_GB2312" w:cs="Times New Roman"/>
          <w:snapToGrid/>
          <w:color w:val="000000"/>
          <w:kern w:val="2"/>
          <w:sz w:val="32"/>
          <w:szCs w:val="32"/>
          <w:lang w:eastAsia="zh-CN"/>
        </w:rPr>
        <w:t>推动残疾人职业教育与就业服务有机</w:t>
      </w:r>
      <w:r>
        <w:rPr>
          <w:rFonts w:hint="eastAsia" w:ascii="仿宋_GB2312" w:hAnsi="仿宋" w:eastAsia="仿宋_GB2312" w:cs="Times New Roman"/>
          <w:snapToGrid/>
          <w:color w:val="000000"/>
          <w:kern w:val="2"/>
          <w:sz w:val="32"/>
          <w:szCs w:val="32"/>
          <w:lang w:val="en-US" w:eastAsia="zh-CN"/>
        </w:rPr>
        <w:t>衔接</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trike w:val="0"/>
          <w:snapToGrid/>
          <w:kern w:val="2"/>
          <w:sz w:val="32"/>
          <w:szCs w:val="32"/>
          <w:lang w:val="en-US" w:eastAsia="zh-CN"/>
        </w:rPr>
        <w:t>健全</w:t>
      </w:r>
      <w:r>
        <w:rPr>
          <w:rFonts w:hint="eastAsia" w:ascii="仿宋_GB2312" w:hAnsi="仿宋" w:eastAsia="仿宋_GB2312" w:cs="Times New Roman"/>
          <w:strike w:val="0"/>
          <w:snapToGrid/>
          <w:kern w:val="2"/>
          <w:sz w:val="32"/>
          <w:szCs w:val="32"/>
          <w:lang w:eastAsia="zh-CN"/>
        </w:rPr>
        <w:t>市县联动办学</w:t>
      </w:r>
      <w:r>
        <w:rPr>
          <w:rFonts w:hint="eastAsia" w:ascii="仿宋_GB2312" w:hAnsi="仿宋" w:eastAsia="仿宋_GB2312" w:cs="Times New Roman"/>
          <w:strike w:val="0"/>
          <w:snapToGrid/>
          <w:kern w:val="2"/>
          <w:sz w:val="32"/>
          <w:szCs w:val="32"/>
          <w:lang w:val="en-US" w:eastAsia="zh-CN"/>
        </w:rPr>
        <w:t>机制</w:t>
      </w:r>
      <w:r>
        <w:rPr>
          <w:rFonts w:hint="eastAsia" w:ascii="仿宋_GB2312" w:hAnsi="仿宋" w:eastAsia="仿宋_GB2312" w:cs="Times New Roman"/>
          <w:strike w:val="0"/>
          <w:snapToGrid/>
          <w:kern w:val="2"/>
          <w:sz w:val="32"/>
          <w:szCs w:val="32"/>
          <w:lang w:eastAsia="zh-CN"/>
        </w:rPr>
        <w:t>，</w:t>
      </w:r>
      <w:r>
        <w:rPr>
          <w:rFonts w:hint="eastAsia" w:ascii="仿宋_GB2312" w:hAnsi="仿宋" w:eastAsia="仿宋_GB2312" w:cs="Times New Roman"/>
          <w:snapToGrid/>
          <w:color w:val="000000"/>
          <w:kern w:val="2"/>
          <w:sz w:val="32"/>
          <w:szCs w:val="32"/>
          <w:lang w:val="en-US" w:eastAsia="zh-CN"/>
        </w:rPr>
        <w:t>推进</w:t>
      </w:r>
      <w:r>
        <w:rPr>
          <w:rFonts w:hint="eastAsia" w:ascii="仿宋_GB2312" w:hAnsi="仿宋" w:eastAsia="仿宋_GB2312" w:cs="Times New Roman"/>
          <w:strike w:val="0"/>
          <w:snapToGrid/>
          <w:kern w:val="2"/>
          <w:sz w:val="32"/>
          <w:szCs w:val="32"/>
          <w:lang w:eastAsia="zh-CN"/>
        </w:rPr>
        <w:t>专门教育提质扩容，保障未成年人专门学校建设与专门教育规范化运行。统筹推进法治思政、心理矫治与职业技能</w:t>
      </w:r>
      <w:r>
        <w:rPr>
          <w:rFonts w:hint="eastAsia" w:ascii="仿宋_GB2312" w:hAnsi="仿宋" w:eastAsia="仿宋_GB2312" w:cs="Times New Roman"/>
          <w:strike w:val="0"/>
          <w:snapToGrid/>
          <w:kern w:val="2"/>
          <w:sz w:val="32"/>
          <w:szCs w:val="32"/>
          <w:lang w:val="en-US" w:eastAsia="zh-CN"/>
        </w:rPr>
        <w:t>培训</w:t>
      </w:r>
      <w:r>
        <w:rPr>
          <w:rFonts w:hint="eastAsia" w:ascii="仿宋_GB2312" w:hAnsi="仿宋" w:eastAsia="仿宋_GB2312" w:cs="Times New Roman"/>
          <w:strike w:val="0"/>
          <w:snapToGrid/>
          <w:kern w:val="2"/>
          <w:sz w:val="32"/>
          <w:szCs w:val="32"/>
          <w:lang w:eastAsia="zh-CN"/>
        </w:rPr>
        <w:t>。</w:t>
      </w:r>
    </w:p>
    <w:p w14:paraId="2B9CD94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6.深化科学教育和“双减”工作</w:t>
      </w:r>
    </w:p>
    <w:p w14:paraId="312D7D3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kern w:val="2"/>
          <w:sz w:val="32"/>
          <w:szCs w:val="32"/>
          <w:lang w:val="en-US" w:eastAsia="zh-CN"/>
        </w:rPr>
        <w:t>做好科学教育加法</w:t>
      </w:r>
      <w:r>
        <w:rPr>
          <w:rFonts w:hint="eastAsia" w:ascii="仿宋_GB2312" w:hAnsi="仿宋" w:eastAsia="仿宋_GB2312" w:cs="Times New Roman"/>
          <w:snapToGrid/>
          <w:kern w:val="2"/>
          <w:sz w:val="32"/>
          <w:szCs w:val="32"/>
          <w:lang w:eastAsia="zh-CN"/>
        </w:rPr>
        <w:t>，搭建科学教育交流、探索和实践平台。组织举办科技类赛事。推进中小学科学教育实验区、实验校建设。逐步推动校外培训数字化全流程监管。规范中小学生竞赛活动，推行“1+N”课后服务模式，规范引进第三方参与非学科类课后服务，</w:t>
      </w:r>
      <w:r>
        <w:rPr>
          <w:rFonts w:hint="eastAsia" w:ascii="仿宋_GB2312" w:hAnsi="仿宋" w:eastAsia="仿宋_GB2312" w:cs="Times New Roman"/>
          <w:snapToGrid/>
          <w:kern w:val="2"/>
          <w:sz w:val="32"/>
          <w:szCs w:val="32"/>
          <w:lang w:val="en-US" w:eastAsia="zh-CN"/>
        </w:rPr>
        <w:t>提升服务质量</w:t>
      </w:r>
      <w:r>
        <w:rPr>
          <w:rFonts w:hint="eastAsia" w:ascii="仿宋_GB2312" w:hAnsi="仿宋" w:eastAsia="仿宋_GB2312" w:cs="Times New Roman"/>
          <w:snapToGrid/>
          <w:kern w:val="2"/>
          <w:sz w:val="32"/>
          <w:szCs w:val="32"/>
          <w:lang w:eastAsia="zh-CN"/>
        </w:rPr>
        <w:t>。</w:t>
      </w:r>
    </w:p>
    <w:p w14:paraId="790AF1D9">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(三)</w:t>
      </w:r>
      <w:r>
        <w:rPr>
          <w:rFonts w:hint="eastAsia" w:ascii="楷体_GB2312" w:hAnsi="仿宋" w:eastAsia="楷体_GB2312" w:cs="宋体"/>
          <w:b/>
          <w:bCs/>
          <w:snapToGrid/>
          <w:color w:val="000000"/>
          <w:kern w:val="0"/>
          <w:sz w:val="32"/>
          <w:szCs w:val="32"/>
          <w:lang w:val="en-US" w:eastAsia="zh-CN"/>
        </w:rPr>
        <w:t>推进</w:t>
      </w:r>
      <w:r>
        <w:rPr>
          <w:rFonts w:hint="eastAsia" w:ascii="楷体_GB2312" w:hAnsi="仿宋" w:eastAsia="楷体_GB2312" w:cs="宋体"/>
          <w:b/>
          <w:bCs/>
          <w:snapToGrid/>
          <w:color w:val="000000"/>
          <w:kern w:val="0"/>
          <w:sz w:val="32"/>
          <w:szCs w:val="32"/>
          <w:lang w:eastAsia="zh-CN"/>
        </w:rPr>
        <w:t>高等教育内涵发展</w:t>
      </w:r>
    </w:p>
    <w:p w14:paraId="6579B97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1.优化高等教育布局</w:t>
      </w:r>
    </w:p>
    <w:p w14:paraId="4A3E40E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kern w:val="2"/>
          <w:sz w:val="32"/>
          <w:szCs w:val="32"/>
          <w:lang w:val="en-US" w:eastAsia="zh-CN"/>
        </w:rPr>
        <w:t>推进高等教育高质量发展</w:t>
      </w:r>
      <w:r>
        <w:rPr>
          <w:rFonts w:hint="eastAsia" w:ascii="仿宋_GB2312" w:hAnsi="仿宋" w:eastAsia="仿宋_GB2312" w:cs="Times New Roman"/>
          <w:snapToGrid/>
          <w:kern w:val="2"/>
          <w:sz w:val="32"/>
          <w:szCs w:val="32"/>
          <w:lang w:eastAsia="zh-CN"/>
        </w:rPr>
        <w:t>，</w:t>
      </w:r>
      <w:r>
        <w:rPr>
          <w:rFonts w:hint="eastAsia" w:ascii="仿宋_GB2312" w:hAnsi="仿宋" w:eastAsia="仿宋_GB2312" w:cs="Times New Roman"/>
          <w:snapToGrid/>
          <w:color w:val="000000"/>
          <w:kern w:val="2"/>
          <w:sz w:val="32"/>
          <w:szCs w:val="32"/>
          <w:lang w:val="en-US" w:eastAsia="zh-CN"/>
        </w:rPr>
        <w:t>以国家“双优”“双高”建设为牵引，重点支持建设1所省“双优”高校、1-2所国家“双高”、2-3所省“双高”学校</w:t>
      </w:r>
      <w:r>
        <w:rPr>
          <w:rFonts w:hint="default"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支持1-2所职业院校升格本科职业高校，支持申办1-2所民办高校，</w:t>
      </w:r>
      <w:r>
        <w:rPr>
          <w:rFonts w:hint="eastAsia" w:ascii="仿宋_GB2312" w:hAnsi="仿宋" w:eastAsia="仿宋_GB2312" w:cs="Times New Roman"/>
          <w:snapToGrid/>
          <w:kern w:val="2"/>
          <w:sz w:val="32"/>
          <w:szCs w:val="32"/>
          <w:lang w:eastAsia="zh-CN"/>
        </w:rPr>
        <w:t>集中资源建设一批“九江特色、全省一流”</w:t>
      </w:r>
      <w:r>
        <w:rPr>
          <w:rFonts w:hint="eastAsia" w:ascii="仿宋_GB2312" w:hAnsi="仿宋" w:eastAsia="仿宋_GB2312" w:cs="Times New Roman"/>
          <w:snapToGrid/>
          <w:kern w:val="2"/>
          <w:sz w:val="32"/>
          <w:szCs w:val="32"/>
          <w:lang w:val="en-US" w:eastAsia="zh-CN"/>
        </w:rPr>
        <w:t>优势</w:t>
      </w:r>
      <w:r>
        <w:rPr>
          <w:rFonts w:hint="eastAsia" w:ascii="仿宋_GB2312" w:hAnsi="仿宋" w:eastAsia="仿宋_GB2312" w:cs="Times New Roman"/>
          <w:snapToGrid/>
          <w:kern w:val="2"/>
          <w:sz w:val="32"/>
          <w:szCs w:val="32"/>
          <w:lang w:eastAsia="zh-CN"/>
        </w:rPr>
        <w:t>学科专业</w:t>
      </w:r>
      <w:r>
        <w:rPr>
          <w:rFonts w:hint="eastAsia" w:ascii="仿宋_GB2312" w:hAnsi="仿宋" w:eastAsia="仿宋_GB2312" w:cs="Times New Roman"/>
          <w:snapToGrid/>
          <w:kern w:val="2"/>
          <w:sz w:val="32"/>
          <w:szCs w:val="32"/>
          <w:lang w:val="en-US" w:eastAsia="zh-CN"/>
        </w:rPr>
        <w:t>群</w:t>
      </w:r>
      <w:r>
        <w:rPr>
          <w:rFonts w:hint="eastAsia" w:ascii="仿宋_GB2312" w:hAnsi="仿宋" w:eastAsia="仿宋_GB2312" w:cs="Times New Roman"/>
          <w:snapToGrid/>
          <w:kern w:val="2"/>
          <w:sz w:val="32"/>
          <w:szCs w:val="32"/>
          <w:lang w:eastAsia="zh-CN"/>
        </w:rPr>
        <w:t>。</w:t>
      </w:r>
      <w:r>
        <w:rPr>
          <w:rFonts w:hint="default" w:ascii="仿宋_GB2312" w:hAnsi="仿宋" w:eastAsia="仿宋_GB2312" w:cs="Times New Roman"/>
          <w:snapToGrid/>
          <w:color w:val="000000"/>
          <w:kern w:val="2"/>
          <w:sz w:val="32"/>
          <w:szCs w:val="32"/>
          <w:lang w:eastAsia="zh-CN"/>
        </w:rPr>
        <w:t>支持共青城市大学城高质量内涵</w:t>
      </w:r>
      <w:r>
        <w:rPr>
          <w:rFonts w:hint="eastAsia" w:ascii="仿宋_GB2312" w:hAnsi="仿宋" w:eastAsia="仿宋_GB2312" w:cs="Times New Roman"/>
          <w:snapToGrid/>
          <w:color w:val="000000"/>
          <w:kern w:val="2"/>
          <w:sz w:val="32"/>
          <w:szCs w:val="32"/>
          <w:lang w:val="en-US" w:eastAsia="zh-CN"/>
        </w:rPr>
        <w:t>式</w:t>
      </w:r>
      <w:r>
        <w:rPr>
          <w:rFonts w:hint="default" w:ascii="仿宋_GB2312" w:hAnsi="仿宋" w:eastAsia="仿宋_GB2312" w:cs="Times New Roman"/>
          <w:snapToGrid/>
          <w:color w:val="000000"/>
          <w:kern w:val="2"/>
          <w:sz w:val="32"/>
          <w:szCs w:val="32"/>
          <w:lang w:eastAsia="zh-CN"/>
        </w:rPr>
        <w:t>发展，推动条件成熟的独立学院转设为市属公办本科院校。推动</w:t>
      </w:r>
      <w:r>
        <w:rPr>
          <w:rFonts w:hint="eastAsia" w:ascii="仿宋_GB2312" w:hAnsi="仿宋" w:eastAsia="仿宋_GB2312" w:cs="Times New Roman"/>
          <w:snapToGrid/>
          <w:color w:val="000000"/>
          <w:kern w:val="2"/>
          <w:sz w:val="32"/>
          <w:szCs w:val="32"/>
          <w:lang w:val="en-US" w:eastAsia="zh-CN"/>
        </w:rPr>
        <w:t>国内外高水平大学</w:t>
      </w:r>
      <w:r>
        <w:rPr>
          <w:rFonts w:hint="default" w:ascii="仿宋_GB2312" w:hAnsi="仿宋" w:eastAsia="仿宋_GB2312" w:cs="Times New Roman"/>
          <w:snapToGrid/>
          <w:color w:val="000000"/>
          <w:kern w:val="2"/>
          <w:sz w:val="32"/>
          <w:szCs w:val="32"/>
          <w:lang w:eastAsia="zh-CN"/>
        </w:rPr>
        <w:t>来浔</w:t>
      </w:r>
      <w:r>
        <w:rPr>
          <w:rFonts w:hint="eastAsia" w:ascii="仿宋_GB2312" w:hAnsi="仿宋" w:eastAsia="仿宋_GB2312" w:cs="Times New Roman"/>
          <w:snapToGrid/>
          <w:color w:val="000000"/>
          <w:kern w:val="2"/>
          <w:sz w:val="32"/>
          <w:szCs w:val="32"/>
          <w:lang w:val="en-US" w:eastAsia="zh-CN"/>
        </w:rPr>
        <w:t>合作办学或设立产业研究院</w:t>
      </w:r>
      <w:r>
        <w:rPr>
          <w:rFonts w:hint="default" w:ascii="仿宋_GB2312" w:hAnsi="仿宋" w:eastAsia="仿宋_GB2312" w:cs="Times New Roman"/>
          <w:snapToGrid/>
          <w:color w:val="000000"/>
          <w:kern w:val="2"/>
          <w:sz w:val="32"/>
          <w:szCs w:val="32"/>
          <w:lang w:eastAsia="zh-CN"/>
        </w:rPr>
        <w:t>。</w:t>
      </w:r>
    </w:p>
    <w:p w14:paraId="4C50F14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2</w:t>
      </w:r>
      <w:r>
        <w:rPr>
          <w:rFonts w:hint="eastAsia" w:ascii="仿宋_GB2312" w:hAnsi="仿宋" w:eastAsia="仿宋_GB2312" w:cs="Times New Roman"/>
          <w:b/>
          <w:bCs/>
          <w:snapToGrid/>
          <w:color w:val="000000"/>
          <w:kern w:val="2"/>
          <w:sz w:val="32"/>
          <w:szCs w:val="32"/>
          <w:lang w:eastAsia="zh-CN"/>
        </w:rPr>
        <w:t>.提升</w:t>
      </w:r>
      <w:r>
        <w:rPr>
          <w:rFonts w:hint="eastAsia" w:ascii="仿宋_GB2312" w:hAnsi="仿宋" w:eastAsia="仿宋_GB2312" w:cs="Times New Roman"/>
          <w:b/>
          <w:bCs/>
          <w:snapToGrid/>
          <w:color w:val="000000"/>
          <w:kern w:val="2"/>
          <w:sz w:val="32"/>
          <w:szCs w:val="32"/>
          <w:lang w:val="en-US" w:eastAsia="zh-CN"/>
        </w:rPr>
        <w:t>科研</w:t>
      </w:r>
      <w:r>
        <w:rPr>
          <w:rFonts w:hint="eastAsia" w:ascii="仿宋_GB2312" w:hAnsi="仿宋" w:eastAsia="仿宋_GB2312" w:cs="Times New Roman"/>
          <w:b/>
          <w:bCs/>
          <w:snapToGrid/>
          <w:color w:val="000000"/>
          <w:kern w:val="2"/>
          <w:sz w:val="32"/>
          <w:szCs w:val="32"/>
          <w:lang w:eastAsia="zh-CN"/>
        </w:rPr>
        <w:t>创新</w:t>
      </w:r>
      <w:r>
        <w:rPr>
          <w:rFonts w:hint="eastAsia" w:ascii="仿宋_GB2312" w:hAnsi="仿宋" w:eastAsia="仿宋_GB2312" w:cs="Times New Roman"/>
          <w:b/>
          <w:bCs/>
          <w:snapToGrid/>
          <w:color w:val="000000"/>
          <w:kern w:val="2"/>
          <w:sz w:val="32"/>
          <w:szCs w:val="32"/>
          <w:lang w:val="en-US" w:eastAsia="zh-CN"/>
        </w:rPr>
        <w:t>能力</w:t>
      </w:r>
    </w:p>
    <w:p w14:paraId="2C839E5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支持高校与国家级科研院所、领军企业共建创新联合体</w:t>
      </w:r>
      <w:r>
        <w:rPr>
          <w:rFonts w:hint="eastAsia" w:ascii="仿宋_GB2312" w:hAnsi="仿宋" w:eastAsia="仿宋_GB2312" w:cs="Times New Roman"/>
          <w:snapToGrid/>
          <w:color w:val="000000"/>
          <w:kern w:val="2"/>
          <w:sz w:val="32"/>
          <w:szCs w:val="32"/>
          <w:lang w:val="en-US" w:eastAsia="zh-CN"/>
        </w:rPr>
        <w:t>和</w:t>
      </w:r>
      <w:r>
        <w:rPr>
          <w:rFonts w:hint="eastAsia" w:ascii="仿宋_GB2312" w:hAnsi="仿宋" w:eastAsia="仿宋_GB2312" w:cs="Times New Roman"/>
          <w:snapToGrid/>
          <w:color w:val="000000"/>
          <w:kern w:val="2"/>
          <w:sz w:val="32"/>
          <w:szCs w:val="32"/>
          <w:lang w:eastAsia="zh-CN"/>
        </w:rPr>
        <w:t>技术创新中心</w:t>
      </w:r>
      <w:r>
        <w:rPr>
          <w:rFonts w:hint="eastAsia" w:ascii="仿宋_GB2312" w:hAnsi="仿宋" w:eastAsia="仿宋_GB2312" w:cs="Times New Roman"/>
          <w:snapToGrid/>
          <w:color w:val="000000"/>
          <w:kern w:val="2"/>
          <w:sz w:val="32"/>
          <w:szCs w:val="32"/>
          <w:lang w:val="en-US" w:eastAsia="zh-CN"/>
        </w:rPr>
        <w:t>等</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争创国家级科研平台。</w:t>
      </w:r>
      <w:r>
        <w:rPr>
          <w:rFonts w:hint="eastAsia" w:ascii="仿宋_GB2312" w:hAnsi="仿宋" w:eastAsia="仿宋_GB2312" w:cs="Times New Roman"/>
          <w:snapToGrid/>
          <w:color w:val="000000"/>
          <w:kern w:val="2"/>
          <w:sz w:val="32"/>
          <w:szCs w:val="32"/>
          <w:lang w:eastAsia="zh-CN"/>
        </w:rPr>
        <w:t>推动创建优势领域省、市重点实验室、工程技术研究中心，</w:t>
      </w:r>
      <w:r>
        <w:rPr>
          <w:rFonts w:hint="eastAsia" w:ascii="仿宋_GB2312" w:hAnsi="仿宋" w:eastAsia="仿宋_GB2312" w:cs="Times New Roman"/>
          <w:snapToGrid/>
          <w:kern w:val="2"/>
          <w:sz w:val="32"/>
          <w:szCs w:val="32"/>
          <w:lang w:eastAsia="zh-CN"/>
        </w:rPr>
        <w:t>争取部省共建江西高等研究院设立九江分中心落户九江学院。</w:t>
      </w:r>
      <w:r>
        <w:rPr>
          <w:rFonts w:hint="eastAsia" w:ascii="仿宋_GB2312" w:hAnsi="仿宋" w:eastAsia="仿宋_GB2312" w:cs="Times New Roman"/>
          <w:snapToGrid/>
          <w:color w:val="000000"/>
          <w:kern w:val="2"/>
          <w:sz w:val="32"/>
          <w:szCs w:val="32"/>
          <w:lang w:eastAsia="zh-CN"/>
        </w:rPr>
        <w:t>加强有组织科研，</w:t>
      </w:r>
      <w:r>
        <w:rPr>
          <w:rFonts w:hint="eastAsia" w:ascii="仿宋_GB2312" w:hAnsi="仿宋" w:eastAsia="仿宋_GB2312" w:cs="Times New Roman"/>
          <w:snapToGrid/>
          <w:color w:val="000000"/>
          <w:kern w:val="2"/>
          <w:sz w:val="32"/>
          <w:szCs w:val="32"/>
          <w:lang w:val="en-US" w:eastAsia="zh-CN"/>
        </w:rPr>
        <w:t>深化校地、校企</w:t>
      </w:r>
      <w:r>
        <w:rPr>
          <w:rFonts w:hint="eastAsia" w:ascii="仿宋_GB2312" w:hAnsi="仿宋" w:eastAsia="仿宋_GB2312" w:cs="Times New Roman"/>
          <w:snapToGrid/>
          <w:color w:val="000000"/>
          <w:kern w:val="2"/>
          <w:sz w:val="32"/>
          <w:szCs w:val="32"/>
          <w:lang w:eastAsia="zh-CN"/>
        </w:rPr>
        <w:t>联合攻关，构建科技创新体系。</w:t>
      </w:r>
      <w:r>
        <w:rPr>
          <w:rFonts w:hint="eastAsia" w:ascii="仿宋_GB2312" w:hAnsi="仿宋" w:eastAsia="仿宋_GB2312" w:cs="Times New Roman"/>
          <w:snapToGrid/>
          <w:kern w:val="2"/>
          <w:sz w:val="32"/>
          <w:szCs w:val="32"/>
          <w:lang w:val="en-US" w:eastAsia="zh-CN"/>
        </w:rPr>
        <w:t>深化产教协同，</w:t>
      </w:r>
      <w:r>
        <w:rPr>
          <w:rFonts w:hint="eastAsia" w:ascii="仿宋_GB2312" w:hAnsi="仿宋" w:eastAsia="仿宋_GB2312" w:cs="Times New Roman"/>
          <w:snapToGrid/>
          <w:kern w:val="2"/>
          <w:sz w:val="32"/>
          <w:szCs w:val="32"/>
          <w:lang w:eastAsia="zh-CN"/>
        </w:rPr>
        <w:t>聚焦重点产业、未来产业布局，建设一批现代产业学院</w:t>
      </w:r>
      <w:r>
        <w:rPr>
          <w:rFonts w:hint="eastAsia" w:ascii="仿宋_GB2312" w:hAnsi="仿宋" w:eastAsia="仿宋_GB2312" w:cs="Times New Roman"/>
          <w:snapToGrid/>
          <w:kern w:val="2"/>
          <w:sz w:val="32"/>
          <w:szCs w:val="32"/>
          <w:lang w:val="en-US" w:eastAsia="zh-CN"/>
        </w:rPr>
        <w:t>和</w:t>
      </w:r>
      <w:r>
        <w:rPr>
          <w:rFonts w:hint="eastAsia" w:ascii="仿宋_GB2312" w:hAnsi="仿宋" w:eastAsia="仿宋_GB2312" w:cs="Times New Roman"/>
          <w:snapToGrid/>
          <w:kern w:val="2"/>
          <w:sz w:val="32"/>
          <w:szCs w:val="32"/>
          <w:lang w:eastAsia="zh-CN"/>
        </w:rPr>
        <w:t>卓越工程师学院。</w:t>
      </w:r>
    </w:p>
    <w:p w14:paraId="14B7EBB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3.</w:t>
      </w:r>
      <w:r>
        <w:rPr>
          <w:rFonts w:hint="eastAsia" w:ascii="仿宋_GB2312" w:hAnsi="仿宋" w:eastAsia="仿宋_GB2312" w:cs="Times New Roman"/>
          <w:b/>
          <w:bCs/>
          <w:snapToGrid/>
          <w:color w:val="000000"/>
          <w:kern w:val="2"/>
          <w:sz w:val="32"/>
          <w:szCs w:val="32"/>
          <w:lang w:eastAsia="zh-CN"/>
        </w:rPr>
        <w:t>推进高校科技成果转化</w:t>
      </w:r>
    </w:p>
    <w:p w14:paraId="7AFCAB7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推动</w:t>
      </w:r>
      <w:r>
        <w:rPr>
          <w:rFonts w:hint="eastAsia" w:ascii="仿宋_GB2312" w:hAnsi="仿宋" w:eastAsia="仿宋_GB2312" w:cs="Times New Roman"/>
          <w:snapToGrid/>
          <w:color w:val="000000"/>
          <w:kern w:val="2"/>
          <w:sz w:val="32"/>
          <w:szCs w:val="32"/>
          <w:lang w:val="en-US" w:eastAsia="zh-CN"/>
        </w:rPr>
        <w:t>科技创新与产业创新深度</w:t>
      </w:r>
      <w:r>
        <w:rPr>
          <w:rFonts w:hint="eastAsia" w:ascii="仿宋_GB2312" w:hAnsi="仿宋" w:eastAsia="仿宋_GB2312" w:cs="Times New Roman"/>
          <w:snapToGrid/>
          <w:color w:val="000000"/>
          <w:kern w:val="2"/>
          <w:sz w:val="32"/>
          <w:szCs w:val="32"/>
          <w:lang w:eastAsia="zh-CN"/>
        </w:rPr>
        <w:t>融合，实施一批重大科研攻关</w:t>
      </w:r>
      <w:r>
        <w:rPr>
          <w:rFonts w:hint="eastAsia" w:ascii="仿宋_GB2312" w:hAnsi="仿宋" w:eastAsia="仿宋_GB2312" w:cs="Times New Roman"/>
          <w:snapToGrid/>
          <w:color w:val="000000"/>
          <w:kern w:val="2"/>
          <w:sz w:val="32"/>
          <w:szCs w:val="32"/>
          <w:lang w:val="en-US" w:eastAsia="zh-CN"/>
        </w:rPr>
        <w:t>和</w:t>
      </w:r>
      <w:r>
        <w:rPr>
          <w:rFonts w:hint="eastAsia" w:ascii="仿宋_GB2312" w:hAnsi="仿宋" w:eastAsia="仿宋_GB2312" w:cs="Times New Roman"/>
          <w:snapToGrid/>
          <w:color w:val="000000"/>
          <w:kern w:val="2"/>
          <w:sz w:val="32"/>
          <w:szCs w:val="32"/>
          <w:lang w:eastAsia="zh-CN"/>
        </w:rPr>
        <w:t>科技成果熟化项目。支持九江学院争创国家级大学科技园。深入开展高校科技成果进园区、科研人员进企业转型行动，</w:t>
      </w:r>
      <w:r>
        <w:rPr>
          <w:rFonts w:hint="eastAsia" w:ascii="仿宋_GB2312" w:hAnsi="仿宋" w:eastAsia="仿宋_GB2312" w:cs="Times New Roman"/>
          <w:snapToGrid/>
          <w:color w:val="000000"/>
          <w:kern w:val="2"/>
          <w:sz w:val="32"/>
          <w:szCs w:val="32"/>
          <w:lang w:val="en-US" w:eastAsia="zh-CN"/>
        </w:rPr>
        <w:t>鼓励探索科研人员离岗创业。</w:t>
      </w:r>
      <w:r>
        <w:rPr>
          <w:rFonts w:hint="eastAsia" w:ascii="仿宋_GB2312" w:hAnsi="仿宋" w:eastAsia="仿宋_GB2312" w:cs="Times New Roman"/>
          <w:snapToGrid/>
          <w:color w:val="000000"/>
          <w:kern w:val="2"/>
          <w:sz w:val="32"/>
          <w:szCs w:val="32"/>
          <w:lang w:eastAsia="zh-CN"/>
        </w:rPr>
        <w:t>推进高校职务科技成果赋权改革。</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9EC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45664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重大工程7：</w:t>
            </w:r>
            <w:r>
              <w:rPr>
                <w:rFonts w:hint="eastAsia" w:ascii="黑体" w:hAnsi="黑体" w:eastAsia="黑体" w:cs="黑体"/>
                <w:b w:val="0"/>
                <w:bCs w:val="0"/>
                <w:snapToGrid/>
                <w:color w:val="000000"/>
                <w:kern w:val="2"/>
                <w:sz w:val="32"/>
                <w:szCs w:val="32"/>
                <w:lang w:val="en-US" w:eastAsia="zh-CN" w:bidi="ar-SA"/>
              </w:rPr>
              <w:t>高等教育提质扩容工程</w:t>
            </w:r>
          </w:p>
        </w:tc>
      </w:tr>
      <w:tr w14:paraId="4F5A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1EBD7C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高等教育规模结构更加优化，高层次人才培养能力显著增强，学科建设与地方产业契合度大幅提升，建成1-2个在省内具有显著影响力的高水平学科。</w:t>
            </w:r>
          </w:p>
          <w:p w14:paraId="2E8816A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0760C1E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auto"/>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 扩大优质本科教育资源。加快推进驻共青城省属独立学院转设为市属公办本科高校，支持江西财经职业学院和九江职业大学升格为职业本科高校。支持申办东佳科技大学和庐山科技大学。支持积极引进国内外知名高校来浔合作办学。</w:t>
            </w:r>
            <w:r>
              <w:rPr>
                <w:rFonts w:hint="eastAsia" w:ascii="华文楷体" w:hAnsi="华文楷体" w:eastAsia="华文楷体" w:cs="华文楷体"/>
                <w:b w:val="0"/>
                <w:bCs w:val="0"/>
                <w:snapToGrid/>
                <w:color w:val="000000"/>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2. 推进“双优”“双高”培优建设。加强教学科研基础设施建设，集中力量支持九江学院更名大学建设，</w:t>
            </w:r>
            <w:r>
              <w:rPr>
                <w:rFonts w:hint="eastAsia" w:ascii="华文楷体" w:hAnsi="华文楷体" w:eastAsia="华文楷体" w:cs="华文楷体"/>
                <w:snapToGrid/>
                <w:kern w:val="2"/>
                <w:sz w:val="28"/>
                <w:szCs w:val="28"/>
                <w:lang w:eastAsia="zh-CN"/>
              </w:rPr>
              <w:t>建成江西示范应用型本科高校</w:t>
            </w:r>
            <w:r>
              <w:rPr>
                <w:rFonts w:hint="eastAsia" w:ascii="华文楷体" w:hAnsi="华文楷体" w:eastAsia="华文楷体" w:cs="华文楷体"/>
                <w:b w:val="0"/>
                <w:bCs w:val="0"/>
                <w:snapToGrid/>
                <w:color w:val="000000"/>
                <w:kern w:val="2"/>
                <w:sz w:val="28"/>
                <w:szCs w:val="28"/>
                <w:lang w:val="en-US" w:eastAsia="zh-CN"/>
              </w:rPr>
              <w:t>。</w:t>
            </w:r>
            <w:r>
              <w:rPr>
                <w:rFonts w:hint="eastAsia" w:ascii="华文楷体" w:hAnsi="华文楷体" w:eastAsia="华文楷体" w:cs="华文楷体"/>
                <w:snapToGrid/>
                <w:color w:val="000000"/>
                <w:kern w:val="2"/>
                <w:sz w:val="28"/>
                <w:szCs w:val="28"/>
                <w:lang w:eastAsia="zh-CN"/>
              </w:rPr>
              <w:t>支持江西职业技术大学建设硕士学位授予单位，</w:t>
            </w:r>
            <w:r>
              <w:rPr>
                <w:rFonts w:hint="eastAsia" w:ascii="华文楷体" w:hAnsi="华文楷体" w:eastAsia="华文楷体" w:cs="华文楷体"/>
                <w:b w:val="0"/>
                <w:bCs w:val="0"/>
                <w:snapToGrid/>
                <w:color w:val="000000"/>
                <w:kern w:val="2"/>
                <w:sz w:val="28"/>
                <w:szCs w:val="28"/>
                <w:lang w:val="en-US" w:eastAsia="zh-CN"/>
              </w:rPr>
              <w:t>建成省内领先、国内一流职业本科大学。支持九江职业大学学府路校区工程建设。支持九江卫生健康职业学院建设成为服务区域卫生健康事业的高水平卫生职业院校。重点培优契合九江重点产业和未来产业方向的学科专业建设。</w:t>
            </w:r>
            <w:r>
              <w:rPr>
                <w:rFonts w:hint="eastAsia" w:ascii="华文楷体" w:hAnsi="华文楷体" w:eastAsia="华文楷体" w:cs="华文楷体"/>
                <w:b w:val="0"/>
                <w:bCs w:val="0"/>
                <w:snapToGrid/>
                <w:color w:val="000000"/>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3. 深化产科教融合与创新平台建设。推动高校与龙头企业、科研院所共建现代产业学院、卓越工程师学院和省级以上重点实验室、工程研究中心。争取省部共建江西高等研究院在</w:t>
            </w:r>
            <w:r>
              <w:rPr>
                <w:rFonts w:hint="eastAsia" w:ascii="华文楷体" w:hAnsi="华文楷体" w:eastAsia="华文楷体" w:cs="华文楷体"/>
                <w:b w:val="0"/>
                <w:bCs w:val="0"/>
                <w:snapToGrid/>
                <w:color w:val="auto"/>
                <w:kern w:val="2"/>
                <w:sz w:val="28"/>
                <w:szCs w:val="28"/>
                <w:lang w:val="en-US" w:eastAsia="zh-CN"/>
              </w:rPr>
              <w:t xml:space="preserve">九江设立分中心。完善科技成果转化机制，加强九江学院科技成果转移转化中心等创新平台建设，支持九江学院争创国家级大学科技园，提升科技成果本地转化率和贡献度。 </w:t>
            </w:r>
          </w:p>
          <w:p w14:paraId="619B873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 xml:space="preserve">效果： </w:t>
            </w:r>
            <w:r>
              <w:rPr>
                <w:rFonts w:hint="eastAsia" w:ascii="华文楷体" w:hAnsi="华文楷体" w:eastAsia="华文楷体" w:cs="华文楷体"/>
                <w:b w:val="0"/>
                <w:bCs w:val="0"/>
                <w:snapToGrid/>
                <w:color w:val="000000"/>
                <w:kern w:val="2"/>
                <w:sz w:val="28"/>
                <w:szCs w:val="28"/>
                <w:lang w:val="en-US" w:eastAsia="zh-CN"/>
              </w:rPr>
              <w:t>新增1-2所本科层次高校；九江学院更名大学取得实质性进展、硕士点数量翻番；建设2-3个九江特色、省级一流学科；高等教育对九江创新驱动发展的支撑引领作用显著增强。</w:t>
            </w:r>
          </w:p>
        </w:tc>
      </w:tr>
    </w:tbl>
    <w:p w14:paraId="7C7F3277">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(四)</w:t>
      </w:r>
      <w:r>
        <w:rPr>
          <w:rFonts w:hint="eastAsia" w:ascii="楷体_GB2312" w:hAnsi="仿宋" w:eastAsia="楷体_GB2312" w:cs="宋体"/>
          <w:b/>
          <w:bCs/>
          <w:snapToGrid/>
          <w:color w:val="000000"/>
          <w:kern w:val="0"/>
          <w:sz w:val="32"/>
          <w:szCs w:val="32"/>
          <w:lang w:val="en-US" w:eastAsia="zh-CN"/>
        </w:rPr>
        <w:t>深化</w:t>
      </w:r>
      <w:r>
        <w:rPr>
          <w:rFonts w:hint="eastAsia" w:ascii="楷体_GB2312" w:hAnsi="仿宋" w:eastAsia="楷体_GB2312" w:cs="宋体"/>
          <w:b/>
          <w:bCs/>
          <w:snapToGrid/>
          <w:color w:val="000000"/>
          <w:kern w:val="0"/>
          <w:sz w:val="32"/>
          <w:szCs w:val="32"/>
          <w:lang w:eastAsia="zh-CN"/>
        </w:rPr>
        <w:t>职业教育创新发展</w:t>
      </w:r>
    </w:p>
    <w:p w14:paraId="49094B0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1.</w:t>
      </w:r>
      <w:r>
        <w:rPr>
          <w:rFonts w:hint="eastAsia" w:ascii="仿宋_GB2312" w:hAnsi="仿宋" w:eastAsia="仿宋_GB2312" w:cs="Times New Roman"/>
          <w:b/>
          <w:bCs/>
          <w:snapToGrid/>
          <w:color w:val="000000"/>
          <w:kern w:val="2"/>
          <w:sz w:val="32"/>
          <w:szCs w:val="32"/>
          <w:lang w:eastAsia="zh-CN"/>
        </w:rPr>
        <w:t>建设产教融合的现代职业教育体系</w:t>
      </w:r>
    </w:p>
    <w:p w14:paraId="05EDD58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加快构建现代职业教育体系，</w:t>
      </w:r>
      <w:r>
        <w:rPr>
          <w:rFonts w:hint="eastAsia" w:ascii="仿宋_GB2312" w:hAnsi="仿宋" w:eastAsia="仿宋_GB2312" w:cs="Times New Roman"/>
          <w:snapToGrid/>
          <w:color w:val="000000"/>
          <w:kern w:val="2"/>
          <w:sz w:val="32"/>
          <w:szCs w:val="32"/>
          <w:lang w:val="en-US" w:eastAsia="zh-CN"/>
        </w:rPr>
        <w:t>支持产教融合型企业和产科教创新平台建设，</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建成</w:t>
      </w:r>
      <w:r>
        <w:rPr>
          <w:rFonts w:hint="eastAsia" w:ascii="仿宋_GB2312" w:hAnsi="仿宋" w:eastAsia="仿宋_GB2312" w:cs="Times New Roman"/>
          <w:strike w:val="0"/>
          <w:snapToGrid/>
          <w:color w:val="000000" w:themeColor="text1"/>
          <w:kern w:val="2"/>
          <w:sz w:val="32"/>
          <w:szCs w:val="32"/>
          <w:lang w:eastAsia="zh-CN"/>
          <w14:textFill>
            <w14:solidFill>
              <w14:schemeClr w14:val="tx1"/>
            </w14:solidFill>
          </w14:textFill>
        </w:rPr>
        <w:t>2-3</w:t>
      </w:r>
      <w:r>
        <w:rPr>
          <w:rFonts w:hint="eastAsia" w:ascii="仿宋_GB2312" w:hAnsi="仿宋" w:eastAsia="仿宋_GB2312" w:cs="Times New Roman"/>
          <w:strike w:val="0"/>
          <w:snapToGrid/>
          <w:color w:val="000000" w:themeColor="text1"/>
          <w:kern w:val="2"/>
          <w:sz w:val="32"/>
          <w:szCs w:val="32"/>
          <w:lang w:val="en-US" w:eastAsia="zh-CN"/>
          <w14:textFill>
            <w14:solidFill>
              <w14:schemeClr w14:val="tx1"/>
            </w14:solidFill>
          </w14:textFill>
        </w:rPr>
        <w:t>个</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省级市域产教联合体</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、省级行业产教融合共同体</w:t>
      </w:r>
      <w:r>
        <w:rPr>
          <w:rFonts w:hint="eastAsia" w:ascii="仿宋_GB2312" w:hAnsi="仿宋" w:eastAsia="仿宋_GB2312" w:cs="Times New Roman"/>
          <w:snapToGrid/>
          <w:color w:val="000000"/>
          <w:kern w:val="2"/>
          <w:sz w:val="32"/>
          <w:szCs w:val="32"/>
          <w:lang w:eastAsia="zh-CN"/>
        </w:rPr>
        <w:t>。完善职业教育专业动态调整机制。</w:t>
      </w:r>
    </w:p>
    <w:p w14:paraId="34E29F0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2.提升职业学校办学能力</w:t>
      </w:r>
    </w:p>
    <w:p w14:paraId="457296A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加快推进职业教育</w:t>
      </w:r>
      <w:r>
        <w:rPr>
          <w:rFonts w:hint="eastAsia" w:ascii="仿宋_GB2312" w:hAnsi="仿宋" w:eastAsia="仿宋_GB2312" w:cs="Times New Roman"/>
          <w:snapToGrid/>
          <w:color w:val="000000"/>
          <w:kern w:val="2"/>
          <w:sz w:val="32"/>
          <w:szCs w:val="32"/>
          <w:lang w:eastAsia="zh-CN"/>
        </w:rPr>
        <w:t>“新双高”</w:t>
      </w:r>
      <w:r>
        <w:rPr>
          <w:rFonts w:hint="eastAsia" w:ascii="仿宋_GB2312" w:hAnsi="仿宋" w:eastAsia="仿宋_GB2312" w:cs="Times New Roman"/>
          <w:snapToGrid/>
          <w:color w:val="000000"/>
          <w:kern w:val="2"/>
          <w:sz w:val="32"/>
          <w:szCs w:val="32"/>
          <w:lang w:val="en-US" w:eastAsia="zh-CN"/>
        </w:rPr>
        <w:t>建设</w:t>
      </w:r>
      <w:r>
        <w:rPr>
          <w:rFonts w:hint="eastAsia" w:ascii="仿宋_GB2312" w:hAnsi="仿宋" w:eastAsia="仿宋_GB2312" w:cs="Times New Roman"/>
          <w:snapToGrid/>
          <w:color w:val="000000"/>
          <w:kern w:val="2"/>
          <w:sz w:val="32"/>
          <w:szCs w:val="32"/>
          <w:lang w:eastAsia="zh-CN"/>
        </w:rPr>
        <w:t>计划，建成一批</w:t>
      </w:r>
      <w:r>
        <w:rPr>
          <w:rFonts w:hint="eastAsia" w:ascii="仿宋_GB2312" w:hAnsi="仿宋" w:eastAsia="仿宋_GB2312" w:cs="Times New Roman"/>
          <w:snapToGrid/>
          <w:color w:val="000000"/>
          <w:kern w:val="2"/>
          <w:sz w:val="32"/>
          <w:szCs w:val="32"/>
          <w:lang w:val="en-US" w:eastAsia="zh-CN"/>
        </w:rPr>
        <w:t>特色鲜明的</w:t>
      </w:r>
      <w:r>
        <w:rPr>
          <w:rFonts w:hint="eastAsia" w:ascii="仿宋_GB2312" w:hAnsi="仿宋" w:eastAsia="仿宋_GB2312" w:cs="Times New Roman"/>
          <w:snapToGrid/>
          <w:color w:val="000000"/>
          <w:kern w:val="2"/>
          <w:sz w:val="32"/>
          <w:szCs w:val="32"/>
          <w:lang w:eastAsia="zh-CN"/>
        </w:rPr>
        <w:t>高水平高职院校和专业群。提高职业学校关键办学能力，</w:t>
      </w:r>
      <w:r>
        <w:rPr>
          <w:rFonts w:hint="eastAsia" w:ascii="仿宋_GB2312" w:hAnsi="仿宋" w:eastAsia="仿宋_GB2312" w:cs="Times New Roman"/>
          <w:snapToGrid/>
          <w:color w:val="000000"/>
          <w:kern w:val="2"/>
          <w:sz w:val="32"/>
          <w:szCs w:val="32"/>
          <w:lang w:val="en-US" w:eastAsia="zh-CN"/>
        </w:rPr>
        <w:t>加大职业教师能力培养力度。</w:t>
      </w:r>
      <w:r>
        <w:rPr>
          <w:rFonts w:hint="eastAsia" w:ascii="仿宋_GB2312" w:hAnsi="仿宋" w:eastAsia="仿宋_GB2312" w:cs="Times New Roman"/>
          <w:snapToGrid/>
          <w:color w:val="000000"/>
          <w:kern w:val="2"/>
          <w:sz w:val="32"/>
          <w:szCs w:val="32"/>
          <w:lang w:eastAsia="zh-CN"/>
        </w:rPr>
        <w:t>大力推动高职学校从企业引进产业副校长(副院长)。开展各类职业技能竞赛。</w:t>
      </w:r>
      <w:r>
        <w:rPr>
          <w:rFonts w:hint="eastAsia" w:ascii="仿宋_GB2312" w:hAnsi="仿宋" w:eastAsia="仿宋_GB2312" w:cs="Times New Roman"/>
          <w:snapToGrid/>
          <w:color w:val="000000"/>
          <w:kern w:val="2"/>
          <w:sz w:val="32"/>
          <w:szCs w:val="32"/>
          <w:lang w:val="en-US" w:eastAsia="zh-CN"/>
        </w:rPr>
        <w:t>加大产业、财政、金融、就业等政策供给，</w:t>
      </w:r>
      <w:r>
        <w:rPr>
          <w:rFonts w:hint="eastAsia" w:ascii="仿宋_GB2312" w:hAnsi="仿宋" w:eastAsia="仿宋_GB2312" w:cs="Times New Roman"/>
          <w:snapToGrid/>
          <w:color w:val="000000"/>
          <w:kern w:val="2"/>
          <w:sz w:val="32"/>
          <w:szCs w:val="32"/>
          <w:lang w:eastAsia="zh-CN"/>
        </w:rPr>
        <w:t>建立基于专业大类的差异化生均拨款制度。</w:t>
      </w:r>
    </w:p>
    <w:p w14:paraId="01E9830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3.推动中职和技工教育发展</w:t>
      </w:r>
    </w:p>
    <w:p w14:paraId="0FABE6E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加快推动中职学校办学条件全面达标。建设优质中职学校和专业，建成</w:t>
      </w:r>
      <w:r>
        <w:rPr>
          <w:rFonts w:hint="eastAsia" w:ascii="仿宋_GB2312" w:hAnsi="仿宋" w:eastAsia="仿宋_GB2312" w:cs="Times New Roman"/>
          <w:strike w:val="0"/>
          <w:snapToGrid/>
          <w:kern w:val="2"/>
          <w:sz w:val="32"/>
          <w:szCs w:val="32"/>
          <w:lang w:eastAsia="zh-CN"/>
        </w:rPr>
        <w:t>3-4所</w:t>
      </w:r>
      <w:r>
        <w:rPr>
          <w:rFonts w:hint="eastAsia" w:ascii="仿宋_GB2312" w:hAnsi="仿宋" w:eastAsia="仿宋_GB2312" w:cs="Times New Roman"/>
          <w:snapToGrid/>
          <w:color w:val="000000"/>
          <w:kern w:val="2"/>
          <w:sz w:val="32"/>
          <w:szCs w:val="32"/>
          <w:lang w:val="en-US" w:eastAsia="zh-CN"/>
        </w:rPr>
        <w:t>A档中职学校。</w:t>
      </w:r>
      <w:r>
        <w:rPr>
          <w:rFonts w:hint="eastAsia" w:ascii="仿宋_GB2312" w:hAnsi="仿宋" w:eastAsia="仿宋_GB2312" w:cs="Times New Roman"/>
          <w:snapToGrid/>
          <w:color w:val="000000"/>
          <w:kern w:val="2"/>
          <w:sz w:val="32"/>
          <w:szCs w:val="32"/>
          <w:lang w:eastAsia="zh-CN"/>
        </w:rPr>
        <w:t>推动中职学校和普通高中课程互选、学分互认、学籍互转。</w:t>
      </w:r>
      <w:r>
        <w:rPr>
          <w:rFonts w:hint="eastAsia" w:ascii="仿宋_GB2312" w:hAnsi="仿宋" w:eastAsia="仿宋_GB2312" w:cs="Times New Roman"/>
          <w:snapToGrid/>
          <w:color w:val="000000"/>
          <w:kern w:val="2"/>
          <w:sz w:val="32"/>
          <w:szCs w:val="32"/>
          <w:lang w:val="en-US" w:eastAsia="zh-CN"/>
        </w:rPr>
        <w:t>深化中高职衔接培养，推动高职资源下沉县域。优化技工教育布局与专业结构，提升九江技师学院高技能人才培养能力。</w:t>
      </w:r>
    </w:p>
    <w:p w14:paraId="0DA310D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4.深化校企协同育人</w:t>
      </w:r>
    </w:p>
    <w:p w14:paraId="5A727A6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推广“校企一体”“厂中校”“校中厂”等校企协同育人模式。探索职业学校混合所有制改革，支持职业学校以服务保障学生实习实训为目的举办企业，鼓励生产型企业参与举办职业学校。健全实践实训制度，加大实训经费投入，完善校企合作利益分配和评价激励机制。推动高职学校在园区、企业建设现场工程师学院，鼓励企业在高职学校建设生产性实训基地。</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C15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1D3234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重大工程8：</w:t>
            </w:r>
            <w:r>
              <w:rPr>
                <w:rFonts w:hint="eastAsia" w:ascii="黑体" w:hAnsi="黑体" w:eastAsia="黑体" w:cs="黑体"/>
                <w:b w:val="0"/>
                <w:bCs w:val="0"/>
                <w:snapToGrid/>
                <w:color w:val="000000"/>
                <w:kern w:val="2"/>
                <w:sz w:val="32"/>
                <w:szCs w:val="32"/>
                <w:lang w:val="en-US" w:eastAsia="zh-CN" w:bidi="ar-SA"/>
              </w:rPr>
              <w:t>职业教育创新发展工程</w:t>
            </w:r>
          </w:p>
        </w:tc>
      </w:tr>
      <w:tr w14:paraId="384C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214988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建成纵向贯通、横向融通的现代职业教育体系，打造产教融合创新品牌，职业教育服务地方产业发展的能力显著增强。</w:t>
            </w:r>
          </w:p>
          <w:p w14:paraId="65BCAFC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7A63247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1.建设高水平产教融合实践载体。推动实体化运作化工、先进制造、数字经济等市级产教联合体建设。在重点产业园区布局建设开放型区域产教融合实践</w:t>
            </w:r>
            <w:r>
              <w:rPr>
                <w:rFonts w:hint="eastAsia" w:ascii="华文楷体" w:hAnsi="华文楷体" w:eastAsia="华文楷体" w:cs="华文楷体"/>
                <w:b w:val="0"/>
                <w:bCs w:val="0"/>
                <w:snapToGrid/>
                <w:color w:val="auto"/>
                <w:kern w:val="2"/>
                <w:sz w:val="28"/>
                <w:szCs w:val="28"/>
                <w:lang w:val="en-US" w:eastAsia="zh-CN"/>
              </w:rPr>
              <w:t>中心，支持江西职业技术大学建设国家级产教融合实训基地。</w:t>
            </w:r>
            <w:r>
              <w:rPr>
                <w:rFonts w:hint="eastAsia" w:ascii="华文楷体" w:hAnsi="华文楷体" w:eastAsia="华文楷体" w:cs="华文楷体"/>
                <w:b w:val="0"/>
                <w:bCs w:val="0"/>
                <w:snapToGrid/>
                <w:color w:val="auto"/>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2. 实施关键办学能力提升计划。深入推进“新双高”计划、优质中职学校建设，聚焦专业、课程、教材、教师、实习实训五大教学关键要素，打造对接九江主导产业的优质专业、精品课程、特色教材、实习实训基地，培育一批骨干教师。</w:t>
            </w:r>
            <w:r>
              <w:rPr>
                <w:rFonts w:hint="eastAsia" w:ascii="华文楷体" w:hAnsi="华文楷体" w:eastAsia="华文楷体" w:cs="华文楷体"/>
                <w:b w:val="0"/>
                <w:bCs w:val="0"/>
                <w:snapToGrid/>
                <w:color w:val="000000"/>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3.创新技术技能人才培养模式。推行中国特色学徒制，建设一批现场工程师学院。 </w:t>
            </w:r>
          </w:p>
          <w:p w14:paraId="7AAF877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strike w:val="0"/>
                <w:snapToGrid/>
                <w:kern w:val="2"/>
                <w:sz w:val="28"/>
                <w:szCs w:val="28"/>
                <w:lang w:eastAsia="zh-CN"/>
              </w:rPr>
              <w:t>培育</w:t>
            </w:r>
            <w:r>
              <w:rPr>
                <w:rFonts w:hint="eastAsia" w:ascii="华文楷体" w:hAnsi="华文楷体" w:eastAsia="华文楷体" w:cs="华文楷体"/>
                <w:strike w:val="0"/>
                <w:snapToGrid/>
                <w:kern w:val="2"/>
                <w:sz w:val="28"/>
                <w:szCs w:val="28"/>
                <w:lang w:val="en-US" w:eastAsia="zh-CN"/>
              </w:rPr>
              <w:t>2-3个</w:t>
            </w:r>
            <w:r>
              <w:rPr>
                <w:rFonts w:hint="eastAsia" w:ascii="华文楷体" w:hAnsi="华文楷体" w:eastAsia="华文楷体" w:cs="华文楷体"/>
                <w:strike w:val="0"/>
                <w:snapToGrid/>
                <w:kern w:val="2"/>
                <w:sz w:val="28"/>
                <w:szCs w:val="28"/>
                <w:lang w:eastAsia="zh-CN"/>
              </w:rPr>
              <w:t>省级市域产教联合体、省级行业产教融合共同体</w:t>
            </w:r>
            <w:r>
              <w:rPr>
                <w:rFonts w:hint="eastAsia" w:ascii="华文楷体" w:hAnsi="华文楷体" w:eastAsia="华文楷体" w:cs="华文楷体"/>
                <w:b w:val="0"/>
                <w:bCs w:val="0"/>
                <w:snapToGrid/>
                <w:color w:val="000000"/>
                <w:kern w:val="2"/>
                <w:sz w:val="28"/>
                <w:szCs w:val="28"/>
                <w:lang w:val="en-US" w:eastAsia="zh-CN"/>
              </w:rPr>
              <w:t>；建成1-2所高水平高职院校和</w:t>
            </w:r>
            <w:r>
              <w:rPr>
                <w:rFonts w:hint="eastAsia" w:ascii="华文楷体" w:hAnsi="华文楷体" w:eastAsia="华文楷体" w:cs="华文楷体"/>
                <w:b w:val="0"/>
                <w:bCs w:val="0"/>
                <w:strike w:val="0"/>
                <w:snapToGrid/>
                <w:color w:val="000000"/>
                <w:kern w:val="2"/>
                <w:sz w:val="28"/>
                <w:szCs w:val="28"/>
                <w:lang w:val="en-US" w:eastAsia="zh-CN"/>
              </w:rPr>
              <w:t>3-4所</w:t>
            </w:r>
            <w:r>
              <w:rPr>
                <w:rFonts w:hint="eastAsia" w:ascii="华文楷体" w:hAnsi="华文楷体" w:eastAsia="华文楷体" w:cs="华文楷体"/>
                <w:b w:val="0"/>
                <w:bCs w:val="0"/>
                <w:snapToGrid/>
                <w:color w:val="000000"/>
                <w:kern w:val="2"/>
                <w:sz w:val="28"/>
                <w:szCs w:val="28"/>
                <w:lang w:val="en-US" w:eastAsia="zh-CN"/>
              </w:rPr>
              <w:t>优质中职学校；技术技能人才供给与产业需求匹配度大幅提升，毕业生留浔就业率稳步提高。</w:t>
            </w:r>
          </w:p>
        </w:tc>
      </w:tr>
    </w:tbl>
    <w:p w14:paraId="5C11BCE9">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(五)建设高素质专业化教师队伍</w:t>
      </w:r>
    </w:p>
    <w:p w14:paraId="4096314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1.推进教育家精神铸魂强师</w:t>
      </w:r>
    </w:p>
    <w:p w14:paraId="4A35000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推动将教育家精神融入教师培养、考核评价全过程。坚持师德师风第一标准，健全</w:t>
      </w:r>
      <w:r>
        <w:rPr>
          <w:rFonts w:hint="eastAsia" w:ascii="仿宋_GB2312" w:hAnsi="仿宋" w:eastAsia="仿宋_GB2312" w:cs="Times New Roman"/>
          <w:snapToGrid/>
          <w:color w:val="000000"/>
          <w:kern w:val="2"/>
          <w:sz w:val="32"/>
          <w:szCs w:val="32"/>
          <w:lang w:val="en-US" w:eastAsia="zh-CN"/>
        </w:rPr>
        <w:t>师德师风建设长效</w:t>
      </w:r>
      <w:r>
        <w:rPr>
          <w:rFonts w:hint="eastAsia" w:ascii="仿宋_GB2312" w:hAnsi="仿宋" w:eastAsia="仿宋_GB2312" w:cs="Times New Roman"/>
          <w:snapToGrid/>
          <w:color w:val="000000"/>
          <w:kern w:val="2"/>
          <w:sz w:val="32"/>
          <w:szCs w:val="32"/>
          <w:lang w:eastAsia="zh-CN"/>
        </w:rPr>
        <w:t>机制，严格落实师德失范“零容忍”。持续加大教师典型选树和表彰宣传力度，</w:t>
      </w:r>
      <w:r>
        <w:rPr>
          <w:rFonts w:hint="eastAsia" w:ascii="仿宋_GB2312" w:hAnsi="仿宋" w:eastAsia="仿宋_GB2312" w:cs="Times New Roman"/>
          <w:snapToGrid/>
          <w:color w:val="000000"/>
          <w:kern w:val="2"/>
          <w:sz w:val="32"/>
          <w:szCs w:val="32"/>
          <w:lang w:val="en-US" w:eastAsia="zh-CN"/>
        </w:rPr>
        <w:t>讲好九江师德故事</w:t>
      </w:r>
      <w:r>
        <w:rPr>
          <w:rFonts w:hint="eastAsia" w:ascii="仿宋_GB2312" w:hAnsi="仿宋" w:eastAsia="仿宋_GB2312" w:cs="Times New Roman"/>
          <w:snapToGrid/>
          <w:color w:val="000000"/>
          <w:kern w:val="2"/>
          <w:sz w:val="32"/>
          <w:szCs w:val="32"/>
          <w:lang w:eastAsia="zh-CN"/>
        </w:rPr>
        <w:t>。</w:t>
      </w:r>
    </w:p>
    <w:p w14:paraId="3C1B193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2.加强教</w:t>
      </w:r>
      <w:r>
        <w:rPr>
          <w:rFonts w:hint="eastAsia" w:ascii="仿宋_GB2312" w:hAnsi="仿宋" w:eastAsia="仿宋_GB2312" w:cs="Times New Roman"/>
          <w:b/>
          <w:bCs/>
          <w:snapToGrid/>
          <w:color w:val="000000"/>
          <w:kern w:val="2"/>
          <w:sz w:val="32"/>
          <w:szCs w:val="32"/>
          <w:lang w:eastAsia="zh-CN"/>
        </w:rPr>
        <w:t>师</w:t>
      </w:r>
      <w:r>
        <w:rPr>
          <w:rFonts w:hint="eastAsia" w:ascii="仿宋_GB2312" w:hAnsi="仿宋" w:eastAsia="仿宋_GB2312" w:cs="Times New Roman"/>
          <w:b/>
          <w:bCs/>
          <w:snapToGrid/>
          <w:color w:val="000000"/>
          <w:kern w:val="2"/>
          <w:sz w:val="32"/>
          <w:szCs w:val="32"/>
          <w:lang w:val="en-US" w:eastAsia="zh-CN"/>
        </w:rPr>
        <w:t>专业能力培养</w:t>
      </w:r>
    </w:p>
    <w:p w14:paraId="56D4471B">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仿宋_GB2312" w:hAnsi="仿宋" w:eastAsia="仿宋_GB2312" w:cs="Times New Roman"/>
          <w:strike/>
          <w:snapToGrid/>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 xml:space="preserve">   </w:t>
      </w:r>
      <w:r>
        <w:rPr>
          <w:rFonts w:hint="eastAsia" w:ascii="仿宋_GB2312" w:hAnsi="仿宋" w:eastAsia="仿宋_GB2312" w:cs="Times New Roman"/>
          <w:snapToGrid/>
          <w:kern w:val="2"/>
          <w:sz w:val="32"/>
          <w:szCs w:val="32"/>
          <w:lang w:eastAsia="zh-CN"/>
        </w:rPr>
        <w:t>健全中小学骨干教师、学科带头人、特级教师梯次培养体系。开展基础教育师资硕士培育和乡村教师学历提升计划。</w:t>
      </w:r>
      <w:r>
        <w:rPr>
          <w:rFonts w:hint="eastAsia" w:ascii="仿宋_GB2312" w:hAnsi="仿宋" w:eastAsia="仿宋_GB2312" w:cs="Times New Roman"/>
          <w:snapToGrid/>
          <w:kern w:val="2"/>
          <w:sz w:val="32"/>
          <w:szCs w:val="32"/>
          <w:lang w:val="en-US" w:eastAsia="zh-CN"/>
        </w:rPr>
        <w:t>强化</w:t>
      </w:r>
      <w:r>
        <w:rPr>
          <w:rFonts w:hint="eastAsia" w:ascii="仿宋_GB2312" w:hAnsi="仿宋" w:eastAsia="仿宋_GB2312" w:cs="Times New Roman"/>
          <w:snapToGrid/>
          <w:kern w:val="2"/>
          <w:sz w:val="32"/>
          <w:szCs w:val="32"/>
          <w:lang w:eastAsia="zh-CN"/>
        </w:rPr>
        <w:t>国培、省培计划项目。加强部属公费师范生、高层次人才、学科带头人等引进</w:t>
      </w:r>
      <w:r>
        <w:rPr>
          <w:rFonts w:hint="eastAsia" w:ascii="仿宋_GB2312" w:hAnsi="仿宋" w:eastAsia="仿宋_GB2312" w:cs="Times New Roman"/>
          <w:snapToGrid/>
          <w:kern w:val="2"/>
          <w:sz w:val="32"/>
          <w:szCs w:val="32"/>
          <w:lang w:val="en-US" w:eastAsia="zh-CN"/>
        </w:rPr>
        <w:t>力度。</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2EE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1F71A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重大工程9：</w:t>
            </w:r>
            <w:r>
              <w:rPr>
                <w:rFonts w:hint="eastAsia" w:ascii="黑体" w:hAnsi="黑体" w:eastAsia="黑体" w:cs="黑体"/>
                <w:b w:val="0"/>
                <w:bCs w:val="0"/>
                <w:snapToGrid/>
                <w:color w:val="000000"/>
                <w:kern w:val="2"/>
                <w:sz w:val="32"/>
                <w:szCs w:val="32"/>
                <w:lang w:val="en-US" w:eastAsia="zh-CN" w:bidi="ar-SA"/>
              </w:rPr>
              <w:t>基础教育教师能力提升工程</w:t>
            </w:r>
          </w:p>
        </w:tc>
      </w:tr>
      <w:tr w14:paraId="5671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06BC63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推动基础教育教师队伍学历层次提升，教师教书育人水平全面提升。</w:t>
            </w:r>
          </w:p>
          <w:p w14:paraId="1C68794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7C945AF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1.提升教师学历层次。优化中小学教师招聘制度，支持教师提升学历教育，提升研究生学历层次教师比重。</w:t>
            </w:r>
          </w:p>
          <w:p w14:paraId="1C1D644B">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2.提升教师培训质量。依托“国培计划”“省培计划”,加强中小学党组织书记校(园)长、骨干教师、教研员等培训。</w:t>
            </w:r>
          </w:p>
          <w:p w14:paraId="2545C7E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3.强化领军教师培养。建立中小学骨干教师、学科带头人和特级 教师梯次培养机制，实施中小学名师、名校长、名班主任培育计划，推荐“赣鄱名师名校长启航工程”人选。</w:t>
            </w:r>
          </w:p>
          <w:p w14:paraId="1ADBEFC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trike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4.夯实教学实践能力。</w:t>
            </w:r>
            <w:r>
              <w:rPr>
                <w:rFonts w:hint="eastAsia" w:ascii="华文楷体" w:hAnsi="华文楷体" w:eastAsia="华文楷体" w:cs="华文楷体"/>
                <w:strike w:val="0"/>
                <w:snapToGrid/>
                <w:kern w:val="2"/>
                <w:sz w:val="28"/>
                <w:szCs w:val="28"/>
                <w:lang w:eastAsia="zh-CN"/>
              </w:rPr>
              <w:t>完善中小学校校本教研制度，构建“分层培训+精准指导+示范引领”推进体系，全覆盖开展“三新”专题培训，同步开展中高考研讨、青年教师教学竞赛、“千师万课”优课遴选，以赛研融合助力教师专业阶梯式成长。</w:t>
            </w:r>
          </w:p>
          <w:p w14:paraId="51949F3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义务教育教师本科及以上学历占比90%；普通高中教师研究生学历占比18%。培养1500名学科带头人及5000名骨干教师。</w:t>
            </w:r>
          </w:p>
        </w:tc>
      </w:tr>
    </w:tbl>
    <w:p w14:paraId="5836961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3</w:t>
      </w:r>
      <w:r>
        <w:rPr>
          <w:rFonts w:hint="eastAsia" w:ascii="仿宋_GB2312" w:hAnsi="仿宋" w:eastAsia="仿宋_GB2312" w:cs="Times New Roman"/>
          <w:b/>
          <w:bCs/>
          <w:snapToGrid/>
          <w:color w:val="000000"/>
          <w:kern w:val="2"/>
          <w:sz w:val="32"/>
          <w:szCs w:val="32"/>
          <w:lang w:eastAsia="zh-CN"/>
        </w:rPr>
        <w:t>.强化教师待遇保障</w:t>
      </w:r>
    </w:p>
    <w:p w14:paraId="284EABE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健全义务教育教师工资待遇随当地公务员工资待遇调整联动机制，持续落实“不低于”政策。强化高中、幼儿园教师工资待遇保障。保障教师课后服务合理待遇，落实国家提高教龄津贴标准政策。实施乡村教师关爱行动，完善生活补助政策，改善工作生活条件，持续巩固拓宽乡村教师回原籍任教绿色通道。落实社会公共服务教师优先政策，减轻教师非教育教学任务负担。</w:t>
      </w:r>
    </w:p>
    <w:p w14:paraId="2F110046">
      <w:pPr>
        <w:pStyle w:val="6"/>
        <w:widowControl/>
        <w:shd w:val="clear" w:color="auto" w:fill="FFFFFF"/>
        <w:ind w:firstLine="630" w:firstLineChars="196"/>
        <w:rPr>
          <w:rFonts w:hint="eastAsia" w:ascii="仿宋_GB2312" w:hAnsi="仿宋" w:eastAsia="仿宋_GB2312" w:cs="Times New Roman"/>
          <w:snapToGrid/>
          <w:color w:val="000000"/>
          <w:kern w:val="2"/>
          <w:sz w:val="32"/>
          <w:szCs w:val="32"/>
          <w:lang w:eastAsia="zh-CN"/>
        </w:rPr>
      </w:pPr>
      <w:r>
        <w:rPr>
          <w:rFonts w:hint="eastAsia" w:ascii="楷体_GB2312" w:hAnsi="仿宋" w:eastAsia="楷体_GB2312" w:cs="宋体"/>
          <w:b/>
          <w:bCs/>
          <w:snapToGrid/>
          <w:color w:val="000000"/>
          <w:kern w:val="0"/>
          <w:sz w:val="32"/>
          <w:szCs w:val="32"/>
          <w:lang w:eastAsia="zh-CN"/>
        </w:rPr>
        <w:t>(六)实施</w:t>
      </w:r>
      <w:r>
        <w:rPr>
          <w:rFonts w:hint="eastAsia" w:ascii="楷体_GB2312" w:hAnsi="仿宋" w:eastAsia="楷体_GB2312" w:cs="宋体"/>
          <w:b/>
          <w:bCs/>
          <w:snapToGrid/>
          <w:color w:val="000000"/>
          <w:kern w:val="0"/>
          <w:sz w:val="32"/>
          <w:szCs w:val="32"/>
          <w:lang w:val="en-US" w:eastAsia="zh-CN"/>
        </w:rPr>
        <w:t>教育</w:t>
      </w:r>
      <w:r>
        <w:rPr>
          <w:rFonts w:hint="eastAsia" w:ascii="楷体_GB2312" w:hAnsi="仿宋" w:eastAsia="楷体_GB2312" w:cs="宋体"/>
          <w:b/>
          <w:bCs/>
          <w:snapToGrid/>
          <w:color w:val="000000"/>
          <w:kern w:val="0"/>
          <w:sz w:val="32"/>
          <w:szCs w:val="32"/>
          <w:lang w:eastAsia="zh-CN"/>
        </w:rPr>
        <w:t>数字化转型</w:t>
      </w:r>
    </w:p>
    <w:p w14:paraId="02BDF9D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eastAsia="zh-CN"/>
        </w:rPr>
        <w:t>1.</w:t>
      </w:r>
      <w:r>
        <w:rPr>
          <w:rFonts w:hint="eastAsia" w:ascii="仿宋_GB2312" w:hAnsi="仿宋" w:eastAsia="仿宋_GB2312" w:cs="Times New Roman"/>
          <w:b/>
          <w:bCs/>
          <w:snapToGrid/>
          <w:color w:val="000000"/>
          <w:kern w:val="2"/>
          <w:sz w:val="32"/>
          <w:szCs w:val="32"/>
          <w:lang w:val="en-US" w:eastAsia="zh-CN"/>
        </w:rPr>
        <w:t>构建数字教育生态</w:t>
      </w:r>
    </w:p>
    <w:p w14:paraId="4F182E1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优化数智化学习环境</w:t>
      </w:r>
      <w:r>
        <w:rPr>
          <w:rFonts w:hint="eastAsia" w:ascii="仿宋_GB2312" w:hAnsi="仿宋" w:eastAsia="仿宋_GB2312" w:cs="Times New Roman"/>
          <w:snapToGrid/>
          <w:color w:val="000000"/>
          <w:kern w:val="2"/>
          <w:sz w:val="32"/>
          <w:szCs w:val="32"/>
          <w:lang w:eastAsia="zh-CN"/>
        </w:rPr>
        <w:t>，推动算力共享网络和“赣教智算联盟”应用。建强智慧教育</w:t>
      </w:r>
      <w:r>
        <w:rPr>
          <w:rFonts w:hint="eastAsia" w:ascii="仿宋_GB2312" w:hAnsi="仿宋" w:eastAsia="仿宋_GB2312" w:cs="Times New Roman"/>
          <w:snapToGrid/>
          <w:color w:val="000000"/>
          <w:kern w:val="2"/>
          <w:sz w:val="32"/>
          <w:szCs w:val="32"/>
          <w:lang w:val="en-US" w:eastAsia="zh-CN"/>
        </w:rPr>
        <w:t>应用</w:t>
      </w:r>
      <w:r>
        <w:rPr>
          <w:rFonts w:hint="eastAsia" w:ascii="仿宋_GB2312" w:hAnsi="仿宋" w:eastAsia="仿宋_GB2312" w:cs="Times New Roman"/>
          <w:snapToGrid/>
          <w:color w:val="000000"/>
          <w:kern w:val="2"/>
          <w:sz w:val="32"/>
          <w:szCs w:val="32"/>
          <w:lang w:eastAsia="zh-CN"/>
        </w:rPr>
        <w:t>体系，</w:t>
      </w:r>
      <w:r>
        <w:rPr>
          <w:rFonts w:hint="eastAsia" w:ascii="仿宋_GB2312" w:hAnsi="仿宋" w:eastAsia="仿宋_GB2312" w:cs="Times New Roman"/>
          <w:snapToGrid/>
          <w:color w:val="000000"/>
          <w:kern w:val="2"/>
          <w:sz w:val="32"/>
          <w:szCs w:val="32"/>
          <w:lang w:val="en-US" w:eastAsia="zh-CN"/>
        </w:rPr>
        <w:t>推动</w:t>
      </w:r>
      <w:r>
        <w:rPr>
          <w:rFonts w:hint="eastAsia" w:ascii="仿宋_GB2312" w:hAnsi="仿宋" w:eastAsia="仿宋_GB2312" w:cs="Times New Roman"/>
          <w:snapToGrid/>
          <w:color w:val="000000"/>
          <w:kern w:val="2"/>
          <w:sz w:val="32"/>
          <w:szCs w:val="32"/>
          <w:lang w:eastAsia="zh-CN"/>
        </w:rPr>
        <w:t>国家、省、市、县、校五级贯通。</w:t>
      </w:r>
      <w:r>
        <w:rPr>
          <w:rFonts w:hint="eastAsia" w:ascii="仿宋_GB2312" w:hAnsi="仿宋" w:eastAsia="仿宋_GB2312" w:cs="Times New Roman"/>
          <w:strike w:val="0"/>
          <w:snapToGrid/>
          <w:color w:val="000000"/>
          <w:kern w:val="2"/>
          <w:sz w:val="32"/>
          <w:szCs w:val="32"/>
          <w:lang w:val="en-US" w:eastAsia="zh-CN"/>
        </w:rPr>
        <w:t>用好</w:t>
      </w:r>
      <w:r>
        <w:rPr>
          <w:rFonts w:hint="eastAsia" w:ascii="仿宋_GB2312" w:hAnsi="仿宋" w:eastAsia="仿宋_GB2312" w:cs="Times New Roman"/>
          <w:snapToGrid/>
          <w:color w:val="000000"/>
          <w:kern w:val="2"/>
          <w:sz w:val="32"/>
          <w:szCs w:val="32"/>
          <w:lang w:eastAsia="zh-CN"/>
        </w:rPr>
        <w:t>云端学校，创建数字技术赋能的</w:t>
      </w:r>
      <w:r>
        <w:rPr>
          <w:rFonts w:hint="eastAsia" w:ascii="仿宋_GB2312" w:hAnsi="仿宋" w:eastAsia="仿宋_GB2312" w:cs="Times New Roman"/>
          <w:snapToGrid/>
          <w:color w:val="000000"/>
          <w:kern w:val="2"/>
          <w:sz w:val="32"/>
          <w:szCs w:val="32"/>
          <w:lang w:val="en-US" w:eastAsia="zh-CN"/>
        </w:rPr>
        <w:t>未来课堂</w:t>
      </w:r>
      <w:r>
        <w:rPr>
          <w:rFonts w:hint="eastAsia" w:ascii="仿宋_GB2312" w:hAnsi="仿宋" w:eastAsia="仿宋_GB2312" w:cs="Times New Roman"/>
          <w:snapToGrid/>
          <w:color w:val="000000"/>
          <w:kern w:val="2"/>
          <w:sz w:val="32"/>
          <w:szCs w:val="32"/>
          <w:lang w:eastAsia="zh-CN"/>
        </w:rPr>
        <w:t>、未来学习</w:t>
      </w:r>
      <w:r>
        <w:rPr>
          <w:rFonts w:hint="eastAsia" w:ascii="仿宋_GB2312" w:hAnsi="仿宋" w:eastAsia="仿宋_GB2312" w:cs="Times New Roman"/>
          <w:snapToGrid/>
          <w:color w:val="000000"/>
          <w:kern w:val="2"/>
          <w:sz w:val="32"/>
          <w:szCs w:val="32"/>
          <w:lang w:val="en-US" w:eastAsia="zh-CN"/>
        </w:rPr>
        <w:t>中心</w:t>
      </w:r>
      <w:r>
        <w:rPr>
          <w:rFonts w:hint="eastAsia" w:ascii="仿宋_GB2312" w:hAnsi="仿宋" w:eastAsia="仿宋_GB2312" w:cs="Times New Roman"/>
          <w:snapToGrid/>
          <w:color w:val="000000"/>
          <w:kern w:val="2"/>
          <w:sz w:val="32"/>
          <w:szCs w:val="32"/>
          <w:lang w:eastAsia="zh-CN"/>
        </w:rPr>
        <w:t>。规范人工智能应用进校园管理，实施网络安全“强盾”行动，提升网络安全防护水平。</w:t>
      </w:r>
    </w:p>
    <w:p w14:paraId="6F787DF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2.推动人工智能赋能教育变革</w:t>
      </w:r>
    </w:p>
    <w:p w14:paraId="13D39F4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kern w:val="2"/>
          <w:sz w:val="32"/>
          <w:szCs w:val="32"/>
          <w:lang w:eastAsia="zh-CN"/>
        </w:rPr>
      </w:pPr>
      <w:r>
        <w:rPr>
          <w:rFonts w:hint="eastAsia" w:ascii="仿宋_GB2312" w:hAnsi="仿宋" w:eastAsia="仿宋_GB2312" w:cs="Times New Roman"/>
          <w:snapToGrid/>
          <w:kern w:val="2"/>
          <w:sz w:val="32"/>
          <w:szCs w:val="32"/>
          <w:lang w:val="en-US" w:eastAsia="zh-CN"/>
        </w:rPr>
        <w:t>加快培育</w:t>
      </w:r>
      <w:r>
        <w:rPr>
          <w:rFonts w:hint="eastAsia" w:ascii="仿宋_GB2312" w:hAnsi="仿宋" w:eastAsia="仿宋_GB2312" w:cs="Times New Roman"/>
          <w:snapToGrid/>
          <w:kern w:val="2"/>
          <w:sz w:val="32"/>
          <w:szCs w:val="32"/>
          <w:lang w:eastAsia="zh-CN"/>
        </w:rPr>
        <w:t>“人工智能+教育”</w:t>
      </w:r>
      <w:r>
        <w:rPr>
          <w:rFonts w:hint="eastAsia" w:ascii="仿宋_GB2312" w:hAnsi="仿宋" w:eastAsia="仿宋_GB2312" w:cs="Times New Roman"/>
          <w:snapToGrid/>
          <w:kern w:val="2"/>
          <w:sz w:val="32"/>
          <w:szCs w:val="32"/>
          <w:lang w:val="en-US" w:eastAsia="zh-CN"/>
        </w:rPr>
        <w:t>场景</w:t>
      </w:r>
      <w:r>
        <w:rPr>
          <w:rFonts w:hint="eastAsia" w:ascii="仿宋_GB2312" w:hAnsi="仿宋" w:eastAsia="仿宋_GB2312" w:cs="Times New Roman"/>
          <w:snapToGrid/>
          <w:kern w:val="2"/>
          <w:sz w:val="32"/>
          <w:szCs w:val="32"/>
          <w:lang w:eastAsia="zh-CN"/>
        </w:rPr>
        <w:t>，推</w:t>
      </w:r>
      <w:r>
        <w:rPr>
          <w:rFonts w:hint="eastAsia" w:ascii="仿宋_GB2312" w:hAnsi="仿宋" w:eastAsia="仿宋_GB2312" w:cs="Times New Roman"/>
          <w:snapToGrid/>
          <w:kern w:val="2"/>
          <w:sz w:val="32"/>
          <w:szCs w:val="32"/>
          <w:lang w:val="en-US" w:eastAsia="zh-CN"/>
        </w:rPr>
        <w:t>进</w:t>
      </w:r>
      <w:r>
        <w:rPr>
          <w:rFonts w:hint="eastAsia" w:ascii="仿宋_GB2312" w:hAnsi="仿宋" w:eastAsia="仿宋_GB2312" w:cs="Times New Roman"/>
          <w:snapToGrid/>
          <w:kern w:val="2"/>
          <w:sz w:val="32"/>
          <w:szCs w:val="32"/>
          <w:lang w:eastAsia="zh-CN"/>
        </w:rPr>
        <w:t>教育智能体</w:t>
      </w:r>
      <w:r>
        <w:rPr>
          <w:rFonts w:hint="eastAsia" w:ascii="仿宋_GB2312" w:hAnsi="仿宋" w:eastAsia="仿宋_GB2312" w:cs="Times New Roman"/>
          <w:snapToGrid/>
          <w:kern w:val="2"/>
          <w:sz w:val="32"/>
          <w:szCs w:val="32"/>
          <w:lang w:val="en-US" w:eastAsia="zh-CN"/>
        </w:rPr>
        <w:t>建设与</w:t>
      </w:r>
      <w:r>
        <w:rPr>
          <w:rFonts w:hint="eastAsia" w:ascii="仿宋_GB2312" w:hAnsi="仿宋" w:eastAsia="仿宋_GB2312" w:cs="Times New Roman"/>
          <w:snapToGrid/>
          <w:kern w:val="2"/>
          <w:sz w:val="32"/>
          <w:szCs w:val="32"/>
          <w:lang w:eastAsia="zh-CN"/>
        </w:rPr>
        <w:t>应用，建成一批人工智能实验室与特色课程资源，拓展AI+思政、体美劳、心理健康等应用；</w:t>
      </w:r>
      <w:r>
        <w:rPr>
          <w:rFonts w:hint="eastAsia" w:ascii="仿宋_GB2312" w:hAnsi="仿宋" w:eastAsia="仿宋_GB2312" w:cs="Times New Roman"/>
          <w:snapToGrid/>
          <w:kern w:val="2"/>
          <w:sz w:val="32"/>
          <w:szCs w:val="32"/>
          <w:lang w:val="en-US" w:eastAsia="zh-CN"/>
        </w:rPr>
        <w:t>升级</w:t>
      </w:r>
      <w:r>
        <w:rPr>
          <w:rFonts w:hint="eastAsia" w:ascii="仿宋_GB2312" w:hAnsi="仿宋" w:eastAsia="仿宋_GB2312" w:cs="Times New Roman"/>
          <w:snapToGrid/>
          <w:kern w:val="2"/>
          <w:sz w:val="32"/>
          <w:szCs w:val="32"/>
          <w:lang w:eastAsia="zh-CN"/>
        </w:rPr>
        <w:t>智能研修平台，</w:t>
      </w:r>
      <w:r>
        <w:rPr>
          <w:rFonts w:hint="eastAsia" w:ascii="仿宋_GB2312" w:hAnsi="仿宋" w:eastAsia="仿宋_GB2312" w:cs="Times New Roman"/>
          <w:snapToGrid/>
          <w:kern w:val="2"/>
          <w:sz w:val="32"/>
          <w:szCs w:val="32"/>
          <w:lang w:val="en-US" w:eastAsia="zh-CN"/>
        </w:rPr>
        <w:t>打造AI教师助手</w:t>
      </w:r>
      <w:r>
        <w:rPr>
          <w:rFonts w:hint="eastAsia" w:ascii="仿宋_GB2312" w:hAnsi="仿宋" w:eastAsia="仿宋_GB2312" w:cs="Times New Roman"/>
          <w:snapToGrid/>
          <w:kern w:val="2"/>
          <w:sz w:val="32"/>
          <w:szCs w:val="32"/>
          <w:lang w:eastAsia="zh-CN"/>
        </w:rPr>
        <w:t>；推进“数据要素</w:t>
      </w:r>
      <w:r>
        <w:rPr>
          <w:rFonts w:hint="default" w:ascii="Arial" w:hAnsi="Arial" w:eastAsia="仿宋_GB2312" w:cs="Arial"/>
          <w:snapToGrid/>
          <w:kern w:val="2"/>
          <w:sz w:val="32"/>
          <w:szCs w:val="32"/>
          <w:lang w:eastAsia="zh-CN"/>
        </w:rPr>
        <w:t>×</w:t>
      </w:r>
      <w:r>
        <w:rPr>
          <w:rFonts w:hint="eastAsia" w:ascii="仿宋_GB2312" w:hAnsi="仿宋" w:eastAsia="仿宋_GB2312" w:cs="Times New Roman"/>
          <w:snapToGrid/>
          <w:kern w:val="2"/>
          <w:sz w:val="32"/>
          <w:szCs w:val="32"/>
          <w:lang w:eastAsia="zh-CN"/>
        </w:rPr>
        <w:t>教育”</w:t>
      </w:r>
      <w:r>
        <w:rPr>
          <w:rFonts w:hint="eastAsia" w:ascii="仿宋_GB2312" w:hAnsi="仿宋" w:eastAsia="仿宋_GB2312" w:cs="Times New Roman"/>
          <w:snapToGrid/>
          <w:kern w:val="2"/>
          <w:sz w:val="32"/>
          <w:szCs w:val="32"/>
          <w:lang w:val="en-US" w:eastAsia="zh-CN"/>
        </w:rPr>
        <w:t>行动</w:t>
      </w:r>
      <w:r>
        <w:rPr>
          <w:rFonts w:hint="eastAsia" w:ascii="仿宋_GB2312" w:hAnsi="仿宋" w:eastAsia="仿宋_GB2312" w:cs="Times New Roman"/>
          <w:snapToGrid/>
          <w:kern w:val="2"/>
          <w:sz w:val="32"/>
          <w:szCs w:val="32"/>
          <w:lang w:eastAsia="zh-CN"/>
        </w:rPr>
        <w:t>，用好“赣教数智大脑”，构建智能教育评价体系，</w:t>
      </w:r>
      <w:r>
        <w:rPr>
          <w:rFonts w:hint="eastAsia" w:ascii="仿宋_GB2312" w:hAnsi="仿宋" w:eastAsia="仿宋_GB2312" w:cs="Times New Roman"/>
          <w:snapToGrid/>
          <w:kern w:val="2"/>
          <w:sz w:val="32"/>
          <w:szCs w:val="32"/>
          <w:lang w:val="en-US" w:eastAsia="zh-CN"/>
        </w:rPr>
        <w:t>强化教育数字化</w:t>
      </w:r>
      <w:r>
        <w:rPr>
          <w:rFonts w:hint="eastAsia" w:ascii="仿宋_GB2312" w:hAnsi="仿宋" w:eastAsia="仿宋_GB2312" w:cs="Times New Roman"/>
          <w:snapToGrid/>
          <w:kern w:val="2"/>
          <w:sz w:val="32"/>
          <w:szCs w:val="32"/>
          <w:lang w:eastAsia="zh-CN"/>
        </w:rPr>
        <w:t>动态监测、研判预警。</w:t>
      </w:r>
    </w:p>
    <w:p w14:paraId="7B4B2BF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3</w:t>
      </w:r>
      <w:r>
        <w:rPr>
          <w:rFonts w:hint="eastAsia" w:ascii="仿宋_GB2312" w:hAnsi="仿宋" w:eastAsia="仿宋_GB2312" w:cs="Times New Roman"/>
          <w:b/>
          <w:bCs/>
          <w:snapToGrid/>
          <w:color w:val="000000"/>
          <w:kern w:val="2"/>
          <w:sz w:val="32"/>
          <w:szCs w:val="32"/>
          <w:lang w:eastAsia="zh-CN"/>
        </w:rPr>
        <w:t>.提升师生数字素养</w:t>
      </w:r>
    </w:p>
    <w:p w14:paraId="4125EB0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深化教师线上线下一体化研修，实现数字素养培训全覆盖。研制中小学人工智能教育实施方案。</w:t>
      </w:r>
      <w:r>
        <w:rPr>
          <w:rFonts w:hint="eastAsia" w:ascii="仿宋_GB2312" w:hAnsi="仿宋" w:eastAsia="仿宋_GB2312" w:cs="Times New Roman"/>
          <w:snapToGrid/>
          <w:color w:val="000000"/>
          <w:kern w:val="2"/>
          <w:sz w:val="32"/>
          <w:szCs w:val="32"/>
          <w:lang w:val="en-US" w:eastAsia="zh-CN"/>
        </w:rPr>
        <w:t>优化中小学信息技术课程设置</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鼓励中小学开发人工智能相关校本课程、课后服务和研学实践项目。</w:t>
      </w:r>
      <w:r>
        <w:rPr>
          <w:rFonts w:hint="eastAsia" w:ascii="仿宋_GB2312" w:hAnsi="仿宋" w:eastAsia="仿宋_GB2312" w:cs="Times New Roman"/>
          <w:snapToGrid/>
          <w:color w:val="000000"/>
          <w:kern w:val="2"/>
          <w:sz w:val="32"/>
          <w:szCs w:val="32"/>
          <w:lang w:eastAsia="zh-CN"/>
        </w:rPr>
        <w:t>建立师生人工智能素养监测制度。</w:t>
      </w:r>
      <w:r>
        <w:rPr>
          <w:rFonts w:hint="eastAsia" w:ascii="仿宋_GB2312" w:hAnsi="仿宋" w:eastAsia="仿宋_GB2312" w:cs="Times New Roman"/>
          <w:snapToGrid/>
          <w:kern w:val="2"/>
          <w:sz w:val="32"/>
          <w:szCs w:val="32"/>
          <w:lang w:eastAsia="zh-CN"/>
        </w:rPr>
        <w:t>全面推动人工智能赋能教育行动试点市工作</w:t>
      </w:r>
      <w:r>
        <w:rPr>
          <w:rFonts w:hint="eastAsia" w:ascii="仿宋_GB2312" w:hAnsi="仿宋" w:eastAsia="仿宋_GB2312" w:cs="Times New Roman"/>
          <w:snapToGrid/>
          <w:color w:val="000000"/>
          <w:kern w:val="2"/>
          <w:sz w:val="32"/>
          <w:szCs w:val="32"/>
          <w:lang w:eastAsia="zh-CN"/>
        </w:rPr>
        <w:t>，2030年前</w:t>
      </w:r>
      <w:r>
        <w:rPr>
          <w:rFonts w:hint="eastAsia" w:ascii="仿宋_GB2312" w:hAnsi="仿宋" w:eastAsia="仿宋_GB2312" w:cs="Times New Roman"/>
          <w:snapToGrid/>
          <w:color w:val="000000"/>
          <w:kern w:val="2"/>
          <w:sz w:val="32"/>
          <w:szCs w:val="32"/>
          <w:lang w:val="en-US" w:eastAsia="zh-CN"/>
        </w:rPr>
        <w:t>全学段</w:t>
      </w:r>
      <w:r>
        <w:rPr>
          <w:rFonts w:hint="eastAsia" w:ascii="仿宋_GB2312" w:hAnsi="仿宋" w:eastAsia="仿宋_GB2312" w:cs="Times New Roman"/>
          <w:snapToGrid/>
          <w:color w:val="000000"/>
          <w:kern w:val="2"/>
          <w:sz w:val="32"/>
          <w:szCs w:val="32"/>
          <w:lang w:eastAsia="zh-CN"/>
        </w:rPr>
        <w:t>普及人工智能</w:t>
      </w:r>
      <w:r>
        <w:rPr>
          <w:rFonts w:hint="eastAsia" w:ascii="仿宋_GB2312" w:hAnsi="仿宋" w:eastAsia="仿宋_GB2312" w:cs="Times New Roman"/>
          <w:snapToGrid/>
          <w:color w:val="000000"/>
          <w:kern w:val="2"/>
          <w:sz w:val="32"/>
          <w:szCs w:val="32"/>
          <w:lang w:val="en-US" w:eastAsia="zh-CN"/>
        </w:rPr>
        <w:t>通识</w:t>
      </w:r>
      <w:r>
        <w:rPr>
          <w:rFonts w:hint="eastAsia" w:ascii="仿宋_GB2312" w:hAnsi="仿宋" w:eastAsia="仿宋_GB2312" w:cs="Times New Roman"/>
          <w:snapToGrid/>
          <w:color w:val="000000"/>
          <w:kern w:val="2"/>
          <w:sz w:val="32"/>
          <w:szCs w:val="32"/>
          <w:lang w:eastAsia="zh-CN"/>
        </w:rPr>
        <w:t>教育。组织开展STEM大赛、机器人大赛等活动。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3AB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54F2C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重大工程10：</w:t>
            </w:r>
            <w:r>
              <w:rPr>
                <w:rFonts w:hint="eastAsia" w:ascii="黑体" w:hAnsi="黑体" w:eastAsia="黑体" w:cs="黑体"/>
                <w:b w:val="0"/>
                <w:bCs w:val="0"/>
                <w:snapToGrid/>
                <w:color w:val="000000"/>
                <w:kern w:val="2"/>
                <w:sz w:val="32"/>
                <w:szCs w:val="32"/>
                <w:lang w:val="en-US" w:eastAsia="zh-CN" w:bidi="ar-SA"/>
              </w:rPr>
              <w:t>“人工智能+教育”行动工程</w:t>
            </w:r>
          </w:p>
        </w:tc>
      </w:tr>
      <w:tr w14:paraId="0FF0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48F3FE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拓展“人工智能+教育”应用场景，构建“人工智能+教育”生态。</w:t>
            </w:r>
          </w:p>
          <w:p w14:paraId="263F794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71A0C96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1.推进人工智能教育示范应用。建设30个中小学人工智能教育实验校、</w:t>
            </w:r>
            <w:r>
              <w:rPr>
                <w:rFonts w:hint="eastAsia" w:ascii="华文楷体" w:hAnsi="华文楷体" w:eastAsia="华文楷体" w:cs="华文楷体"/>
                <w:snapToGrid/>
                <w:kern w:val="2"/>
                <w:sz w:val="28"/>
                <w:szCs w:val="28"/>
                <w:lang w:eastAsia="zh-CN"/>
              </w:rPr>
              <w:t>3-5</w:t>
            </w:r>
            <w:r>
              <w:rPr>
                <w:rFonts w:hint="eastAsia" w:ascii="华文楷体" w:hAnsi="华文楷体" w:eastAsia="华文楷体" w:cs="华文楷体"/>
                <w:snapToGrid/>
                <w:kern w:val="2"/>
                <w:sz w:val="28"/>
                <w:szCs w:val="28"/>
                <w:lang w:val="en-US" w:eastAsia="zh-CN"/>
              </w:rPr>
              <w:t>个</w:t>
            </w:r>
            <w:r>
              <w:rPr>
                <w:rFonts w:hint="eastAsia" w:ascii="华文楷体" w:hAnsi="华文楷体" w:eastAsia="华文楷体" w:cs="华文楷体"/>
                <w:b w:val="0"/>
                <w:bCs w:val="0"/>
                <w:snapToGrid/>
                <w:color w:val="000000"/>
                <w:kern w:val="2"/>
                <w:sz w:val="28"/>
                <w:szCs w:val="28"/>
                <w:lang w:val="en-US" w:eastAsia="zh-CN"/>
              </w:rPr>
              <w:t>教育人工智能创新实验室，打造</w:t>
            </w:r>
            <w:r>
              <w:rPr>
                <w:rFonts w:hint="eastAsia" w:ascii="华文楷体" w:hAnsi="华文楷体" w:eastAsia="华文楷体" w:cs="华文楷体"/>
                <w:snapToGrid/>
                <w:kern w:val="2"/>
                <w:sz w:val="28"/>
                <w:szCs w:val="28"/>
                <w:lang w:eastAsia="zh-CN"/>
              </w:rPr>
              <w:t>1-3</w:t>
            </w:r>
            <w:r>
              <w:rPr>
                <w:rFonts w:hint="eastAsia" w:ascii="华文楷体" w:hAnsi="华文楷体" w:eastAsia="华文楷体" w:cs="华文楷体"/>
                <w:snapToGrid/>
                <w:kern w:val="2"/>
                <w:sz w:val="28"/>
                <w:szCs w:val="28"/>
                <w:lang w:val="en-US" w:eastAsia="zh-CN"/>
              </w:rPr>
              <w:t>个</w:t>
            </w:r>
            <w:r>
              <w:rPr>
                <w:rFonts w:hint="eastAsia" w:ascii="华文楷体" w:hAnsi="华文楷体" w:eastAsia="华文楷体" w:cs="华文楷体"/>
                <w:b w:val="0"/>
                <w:bCs w:val="0"/>
                <w:snapToGrid/>
                <w:color w:val="000000"/>
                <w:kern w:val="2"/>
                <w:sz w:val="28"/>
                <w:szCs w:val="28"/>
                <w:lang w:val="en-US" w:eastAsia="zh-CN"/>
              </w:rPr>
              <w:t>特色智能体应用。</w:t>
            </w:r>
          </w:p>
          <w:p w14:paraId="4F62A1C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2.推动教学创新。推广智能</w:t>
            </w:r>
            <w:r>
              <w:rPr>
                <w:rFonts w:hint="eastAsia" w:ascii="华文楷体" w:hAnsi="华文楷体" w:eastAsia="华文楷体" w:cs="华文楷体"/>
                <w:b w:val="0"/>
                <w:bCs w:val="0"/>
                <w:strike w:val="0"/>
                <w:snapToGrid/>
                <w:color w:val="000000"/>
                <w:kern w:val="2"/>
                <w:sz w:val="28"/>
                <w:szCs w:val="28"/>
                <w:lang w:val="en-US" w:eastAsia="zh-CN"/>
              </w:rPr>
              <w:t>教学</w:t>
            </w:r>
            <w:r>
              <w:rPr>
                <w:rFonts w:hint="eastAsia" w:ascii="华文楷体" w:hAnsi="华文楷体" w:eastAsia="华文楷体" w:cs="华文楷体"/>
                <w:b w:val="0"/>
                <w:bCs w:val="0"/>
                <w:snapToGrid/>
                <w:color w:val="000000"/>
                <w:kern w:val="2"/>
                <w:sz w:val="28"/>
                <w:szCs w:val="28"/>
                <w:lang w:val="en-US" w:eastAsia="zh-CN"/>
              </w:rPr>
              <w:t>工具，遴选50节人工智能赋能教学变革优秀课例、</w:t>
            </w:r>
            <w:r>
              <w:rPr>
                <w:rFonts w:hint="eastAsia" w:ascii="华文楷体" w:hAnsi="华文楷体" w:eastAsia="华文楷体" w:cs="华文楷体"/>
                <w:b w:val="0"/>
                <w:bCs w:val="0"/>
                <w:strike w:val="0"/>
                <w:snapToGrid/>
                <w:color w:val="000000"/>
                <w:kern w:val="2"/>
                <w:sz w:val="28"/>
                <w:szCs w:val="28"/>
                <w:lang w:val="en-US" w:eastAsia="zh-CN"/>
              </w:rPr>
              <w:t>30个</w:t>
            </w:r>
            <w:r>
              <w:rPr>
                <w:rFonts w:hint="eastAsia" w:ascii="华文楷体" w:hAnsi="华文楷体" w:eastAsia="华文楷体" w:cs="华文楷体"/>
                <w:b w:val="0"/>
                <w:bCs w:val="0"/>
                <w:snapToGrid/>
                <w:color w:val="000000"/>
                <w:kern w:val="2"/>
                <w:sz w:val="28"/>
                <w:szCs w:val="28"/>
                <w:lang w:val="en-US" w:eastAsia="zh-CN"/>
              </w:rPr>
              <w:t>“人工智能+”教育应用创新实践案例。</w:t>
            </w:r>
          </w:p>
          <w:p w14:paraId="1CF0AFB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3.赋能教育治理。探索数智大脑在学位预警、质量监测等方面智能应用。</w:t>
            </w:r>
          </w:p>
          <w:p w14:paraId="5550980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全学段人工智能课程开课率达100%，教师应用智能工具备课基本普及。教育决策精准化和教育治理更加有效。</w:t>
            </w:r>
          </w:p>
        </w:tc>
      </w:tr>
    </w:tbl>
    <w:p w14:paraId="1557D14D">
      <w:pPr>
        <w:pStyle w:val="6"/>
        <w:widowControl/>
        <w:shd w:val="clear" w:color="auto" w:fill="FFFFFF"/>
        <w:ind w:firstLine="630" w:firstLineChars="196"/>
        <w:rPr>
          <w:rFonts w:hint="eastAsia" w:ascii="仿宋_GB2312" w:hAnsi="仿宋" w:eastAsia="仿宋_GB2312" w:cs="Times New Roman"/>
          <w:snapToGrid/>
          <w:color w:val="000000"/>
          <w:kern w:val="2"/>
          <w:sz w:val="32"/>
          <w:szCs w:val="32"/>
          <w:lang w:eastAsia="zh-CN"/>
        </w:rPr>
      </w:pPr>
      <w:r>
        <w:rPr>
          <w:rFonts w:hint="eastAsia" w:ascii="楷体_GB2312" w:hAnsi="仿宋" w:eastAsia="楷体_GB2312" w:cs="宋体"/>
          <w:b/>
          <w:bCs/>
          <w:snapToGrid/>
          <w:color w:val="000000"/>
          <w:kern w:val="0"/>
          <w:sz w:val="32"/>
          <w:szCs w:val="32"/>
          <w:lang w:eastAsia="zh-CN"/>
        </w:rPr>
        <w:t>(七)加快学习型社会建设</w:t>
      </w:r>
    </w:p>
    <w:p w14:paraId="736A4FA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1.推</w:t>
      </w:r>
      <w:r>
        <w:rPr>
          <w:rFonts w:hint="eastAsia" w:ascii="仿宋_GB2312" w:hAnsi="仿宋" w:eastAsia="仿宋_GB2312" w:cs="Times New Roman"/>
          <w:b/>
          <w:bCs/>
          <w:snapToGrid/>
          <w:color w:val="000000"/>
          <w:kern w:val="2"/>
          <w:sz w:val="32"/>
          <w:szCs w:val="32"/>
          <w:lang w:val="en-US" w:eastAsia="zh-CN"/>
        </w:rPr>
        <w:t>进</w:t>
      </w:r>
      <w:r>
        <w:rPr>
          <w:rFonts w:hint="eastAsia" w:ascii="仿宋_GB2312" w:hAnsi="仿宋" w:eastAsia="仿宋_GB2312" w:cs="Times New Roman"/>
          <w:b/>
          <w:bCs/>
          <w:snapToGrid/>
          <w:color w:val="000000"/>
          <w:kern w:val="2"/>
          <w:sz w:val="32"/>
          <w:szCs w:val="32"/>
          <w:lang w:eastAsia="zh-CN"/>
        </w:rPr>
        <w:t>学习型</w:t>
      </w:r>
      <w:r>
        <w:rPr>
          <w:rFonts w:hint="eastAsia" w:ascii="仿宋_GB2312" w:hAnsi="仿宋" w:eastAsia="仿宋_GB2312" w:cs="Times New Roman"/>
          <w:b/>
          <w:bCs/>
          <w:snapToGrid/>
          <w:color w:val="000000"/>
          <w:kern w:val="2"/>
          <w:sz w:val="32"/>
          <w:szCs w:val="32"/>
          <w:lang w:val="en-US" w:eastAsia="zh-CN"/>
        </w:rPr>
        <w:t>社会</w:t>
      </w:r>
      <w:r>
        <w:rPr>
          <w:rFonts w:hint="eastAsia" w:ascii="仿宋_GB2312" w:hAnsi="仿宋" w:eastAsia="仿宋_GB2312" w:cs="Times New Roman"/>
          <w:b/>
          <w:bCs/>
          <w:snapToGrid/>
          <w:color w:val="000000"/>
          <w:kern w:val="2"/>
          <w:sz w:val="32"/>
          <w:szCs w:val="32"/>
          <w:lang w:eastAsia="zh-CN"/>
        </w:rPr>
        <w:t>建设</w:t>
      </w:r>
    </w:p>
    <w:p w14:paraId="07A454C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打造开放共享的终身学习公共服务平台，</w:t>
      </w:r>
      <w:r>
        <w:rPr>
          <w:rFonts w:hint="eastAsia" w:ascii="仿宋_GB2312" w:hAnsi="仿宋" w:eastAsia="仿宋_GB2312" w:cs="Times New Roman"/>
          <w:snapToGrid/>
          <w:color w:val="000000"/>
          <w:kern w:val="2"/>
          <w:sz w:val="32"/>
          <w:szCs w:val="32"/>
          <w:lang w:eastAsia="zh-CN"/>
        </w:rPr>
        <w:t>支持各类学校向社区开放，鼓励社会力量参与社区教育，</w:t>
      </w:r>
      <w:r>
        <w:rPr>
          <w:rFonts w:hint="eastAsia" w:ascii="仿宋_GB2312" w:hAnsi="仿宋" w:eastAsia="仿宋_GB2312" w:cs="Times New Roman"/>
          <w:snapToGrid/>
          <w:color w:val="000000"/>
          <w:kern w:val="2"/>
          <w:sz w:val="32"/>
          <w:szCs w:val="32"/>
          <w:lang w:val="en-US" w:eastAsia="zh-CN"/>
        </w:rPr>
        <w:t>培育一批品牌</w:t>
      </w:r>
      <w:r>
        <w:rPr>
          <w:rFonts w:hint="eastAsia" w:ascii="仿宋_GB2312" w:hAnsi="仿宋" w:eastAsia="仿宋_GB2312" w:cs="Times New Roman"/>
          <w:snapToGrid/>
          <w:color w:val="000000"/>
          <w:kern w:val="2"/>
          <w:sz w:val="32"/>
          <w:szCs w:val="32"/>
          <w:lang w:eastAsia="zh-CN"/>
        </w:rPr>
        <w:t>社区学习中心。鼓励有条件的职业学校建设乡村振兴学院。</w:t>
      </w:r>
    </w:p>
    <w:p w14:paraId="714D3BD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2.丰富终身学习应用场景</w:t>
      </w:r>
    </w:p>
    <w:p w14:paraId="64A55B3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拓宽终身教育数字化学习场景，</w:t>
      </w:r>
      <w:r>
        <w:rPr>
          <w:rFonts w:hint="eastAsia" w:ascii="仿宋_GB2312" w:hAnsi="仿宋" w:eastAsia="仿宋_GB2312" w:cs="Times New Roman"/>
          <w:snapToGrid/>
          <w:color w:val="000000"/>
          <w:kern w:val="2"/>
          <w:sz w:val="32"/>
          <w:szCs w:val="32"/>
          <w:lang w:eastAsia="zh-CN"/>
        </w:rPr>
        <w:t>深入</w:t>
      </w:r>
      <w:r>
        <w:rPr>
          <w:rFonts w:hint="eastAsia" w:ascii="仿宋_GB2312" w:hAnsi="仿宋" w:eastAsia="仿宋_GB2312" w:cs="Times New Roman"/>
          <w:snapToGrid/>
          <w:color w:val="000000"/>
          <w:kern w:val="2"/>
          <w:sz w:val="32"/>
          <w:szCs w:val="32"/>
          <w:lang w:val="en-US" w:eastAsia="zh-CN"/>
        </w:rPr>
        <w:t>推进</w:t>
      </w:r>
      <w:r>
        <w:rPr>
          <w:rFonts w:hint="eastAsia" w:ascii="仿宋_GB2312" w:hAnsi="仿宋" w:eastAsia="仿宋_GB2312" w:cs="Times New Roman"/>
          <w:snapToGrid/>
          <w:color w:val="000000"/>
          <w:kern w:val="2"/>
          <w:sz w:val="32"/>
          <w:szCs w:val="32"/>
          <w:lang w:eastAsia="zh-CN"/>
        </w:rPr>
        <w:t>青少年读书行动，</w:t>
      </w:r>
      <w:r>
        <w:rPr>
          <w:rFonts w:hint="eastAsia" w:ascii="仿宋_GB2312" w:hAnsi="仿宋" w:eastAsia="仿宋_GB2312" w:cs="Times New Roman"/>
          <w:snapToGrid/>
          <w:color w:val="000000"/>
          <w:kern w:val="2"/>
          <w:sz w:val="32"/>
          <w:szCs w:val="32"/>
          <w:lang w:val="en-US" w:eastAsia="zh-CN"/>
        </w:rPr>
        <w:t>做优</w:t>
      </w:r>
      <w:r>
        <w:rPr>
          <w:rFonts w:hint="eastAsia" w:ascii="仿宋_GB2312" w:hAnsi="仿宋" w:eastAsia="仿宋_GB2312" w:cs="Times New Roman"/>
          <w:snapToGrid/>
          <w:color w:val="000000"/>
          <w:kern w:val="2"/>
          <w:sz w:val="32"/>
          <w:szCs w:val="32"/>
          <w:lang w:eastAsia="zh-CN"/>
        </w:rPr>
        <w:t>“书香赣鄱”“全民阅读大会”等</w:t>
      </w:r>
      <w:r>
        <w:rPr>
          <w:rFonts w:hint="eastAsia" w:ascii="仿宋_GB2312" w:hAnsi="仿宋" w:eastAsia="仿宋_GB2312" w:cs="Times New Roman"/>
          <w:snapToGrid/>
          <w:color w:val="000000"/>
          <w:kern w:val="2"/>
          <w:sz w:val="32"/>
          <w:szCs w:val="32"/>
          <w:lang w:val="en-US" w:eastAsia="zh-CN"/>
        </w:rPr>
        <w:t>特色品牌</w:t>
      </w:r>
      <w:r>
        <w:rPr>
          <w:rFonts w:hint="eastAsia" w:ascii="仿宋_GB2312" w:hAnsi="仿宋" w:eastAsia="仿宋_GB2312" w:cs="Times New Roman"/>
          <w:snapToGrid/>
          <w:color w:val="000000"/>
          <w:kern w:val="2"/>
          <w:sz w:val="32"/>
          <w:szCs w:val="32"/>
          <w:lang w:eastAsia="zh-CN"/>
        </w:rPr>
        <w:t>，</w:t>
      </w:r>
      <w:r>
        <w:rPr>
          <w:rFonts w:hint="eastAsia" w:ascii="仿宋_GB2312" w:hAnsi="仿宋" w:eastAsia="仿宋_GB2312" w:cs="Times New Roman"/>
          <w:snapToGrid/>
          <w:color w:val="000000"/>
          <w:kern w:val="2"/>
          <w:sz w:val="32"/>
          <w:szCs w:val="32"/>
          <w:lang w:val="en-US" w:eastAsia="zh-CN"/>
        </w:rPr>
        <w:t>提升</w:t>
      </w:r>
      <w:r>
        <w:rPr>
          <w:rFonts w:hint="eastAsia" w:ascii="仿宋_GB2312" w:hAnsi="仿宋" w:eastAsia="仿宋_GB2312" w:cs="Times New Roman"/>
          <w:snapToGrid/>
          <w:color w:val="000000"/>
          <w:kern w:val="2"/>
          <w:sz w:val="32"/>
          <w:szCs w:val="32"/>
          <w:lang w:eastAsia="zh-CN"/>
        </w:rPr>
        <w:t>农家书屋、社区书屋等便民公共阅读场所。增强老年教育服务供给。</w:t>
      </w:r>
    </w:p>
    <w:p w14:paraId="4879413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eastAsia="zh-CN"/>
        </w:rPr>
        <w:t>3.</w:t>
      </w:r>
      <w:r>
        <w:rPr>
          <w:rFonts w:hint="eastAsia" w:ascii="仿宋_GB2312" w:hAnsi="仿宋" w:eastAsia="仿宋_GB2312" w:cs="Times New Roman"/>
          <w:b/>
          <w:bCs/>
          <w:snapToGrid/>
          <w:color w:val="000000"/>
          <w:kern w:val="2"/>
          <w:sz w:val="32"/>
          <w:szCs w:val="32"/>
          <w:lang w:val="en-US" w:eastAsia="zh-CN"/>
        </w:rPr>
        <w:t>完善终身学习教育体系</w:t>
      </w:r>
    </w:p>
    <w:p w14:paraId="2D390E3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完善全民终身学习推进机制。开展产业人才</w:t>
      </w:r>
      <w:r>
        <w:rPr>
          <w:rFonts w:hint="eastAsia" w:ascii="仿宋_GB2312" w:hAnsi="仿宋" w:eastAsia="仿宋_GB2312" w:cs="Times New Roman"/>
          <w:snapToGrid/>
          <w:color w:val="000000"/>
          <w:kern w:val="2"/>
          <w:sz w:val="32"/>
          <w:szCs w:val="32"/>
          <w:lang w:val="en-US" w:eastAsia="zh-CN"/>
        </w:rPr>
        <w:t>知识更新、</w:t>
      </w:r>
      <w:r>
        <w:rPr>
          <w:rFonts w:hint="eastAsia" w:ascii="仿宋_GB2312" w:hAnsi="仿宋" w:eastAsia="仿宋_GB2312" w:cs="Times New Roman"/>
          <w:snapToGrid/>
          <w:color w:val="000000"/>
          <w:kern w:val="2"/>
          <w:sz w:val="32"/>
          <w:szCs w:val="32"/>
          <w:lang w:eastAsia="zh-CN"/>
        </w:rPr>
        <w:t>技能提升培训。</w:t>
      </w:r>
      <w:r>
        <w:rPr>
          <w:rFonts w:hint="eastAsia" w:ascii="仿宋_GB2312" w:hAnsi="仿宋" w:eastAsia="仿宋_GB2312" w:cs="Times New Roman"/>
          <w:snapToGrid/>
          <w:color w:val="000000"/>
          <w:kern w:val="2"/>
          <w:sz w:val="32"/>
          <w:szCs w:val="32"/>
          <w:lang w:val="en-US" w:eastAsia="zh-CN"/>
        </w:rPr>
        <w:t>深化</w:t>
      </w:r>
      <w:r>
        <w:rPr>
          <w:rFonts w:hint="eastAsia" w:ascii="仿宋_GB2312" w:hAnsi="仿宋" w:eastAsia="仿宋_GB2312" w:cs="Times New Roman"/>
          <w:snapToGrid/>
          <w:color w:val="000000"/>
          <w:kern w:val="2"/>
          <w:sz w:val="32"/>
          <w:szCs w:val="32"/>
          <w:lang w:eastAsia="zh-CN"/>
        </w:rPr>
        <w:t>“学分银行”建设，完善学习成果认证与转换标准，促进学历教育、职业培训与社区教育之间的成果互认。</w:t>
      </w:r>
    </w:p>
    <w:p w14:paraId="0F8D9392">
      <w:pPr>
        <w:pStyle w:val="6"/>
        <w:widowControl/>
        <w:shd w:val="clear" w:color="auto" w:fill="FFFFFF"/>
        <w:ind w:firstLine="630" w:firstLineChars="196"/>
        <w:rPr>
          <w:rFonts w:hint="eastAsia" w:ascii="仿宋_GB2312" w:hAnsi="仿宋" w:eastAsia="仿宋_GB2312" w:cs="Times New Roman"/>
          <w:snapToGrid/>
          <w:color w:val="000000"/>
          <w:kern w:val="2"/>
          <w:sz w:val="32"/>
          <w:szCs w:val="32"/>
          <w:lang w:eastAsia="zh-CN"/>
        </w:rPr>
      </w:pPr>
      <w:r>
        <w:rPr>
          <w:rFonts w:hint="eastAsia" w:ascii="楷体_GB2312" w:hAnsi="仿宋" w:eastAsia="楷体_GB2312" w:cs="宋体"/>
          <w:b/>
          <w:bCs/>
          <w:snapToGrid/>
          <w:color w:val="000000"/>
          <w:kern w:val="0"/>
          <w:sz w:val="32"/>
          <w:szCs w:val="32"/>
          <w:lang w:eastAsia="zh-CN"/>
        </w:rPr>
        <w:t>(八)深化教育综合改革</w:t>
      </w:r>
    </w:p>
    <w:p w14:paraId="0E8E0EE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1.</w:t>
      </w:r>
      <w:r>
        <w:rPr>
          <w:rFonts w:hint="eastAsia" w:ascii="仿宋_GB2312" w:hAnsi="仿宋" w:eastAsia="仿宋_GB2312" w:cs="Times New Roman"/>
          <w:b/>
          <w:bCs/>
          <w:snapToGrid/>
          <w:color w:val="000000"/>
          <w:kern w:val="2"/>
          <w:sz w:val="32"/>
          <w:szCs w:val="32"/>
          <w:lang w:val="en-US" w:eastAsia="zh-CN"/>
        </w:rPr>
        <w:t>推进</w:t>
      </w:r>
      <w:r>
        <w:rPr>
          <w:rFonts w:hint="eastAsia" w:ascii="仿宋_GB2312" w:hAnsi="仿宋" w:eastAsia="仿宋_GB2312" w:cs="Times New Roman"/>
          <w:b/>
          <w:bCs/>
          <w:snapToGrid/>
          <w:color w:val="000000"/>
          <w:kern w:val="2"/>
          <w:sz w:val="32"/>
          <w:szCs w:val="32"/>
          <w:lang w:eastAsia="zh-CN"/>
        </w:rPr>
        <w:t>教育评价改革</w:t>
      </w:r>
    </w:p>
    <w:p w14:paraId="5E238E9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建立健全教育强市建设检测评估机制</w:t>
      </w:r>
      <w:r>
        <w:rPr>
          <w:rFonts w:hint="eastAsia" w:ascii="仿宋_GB2312" w:hAnsi="仿宋" w:eastAsia="仿宋_GB2312" w:cs="Times New Roman"/>
          <w:snapToGrid/>
          <w:color w:val="000000"/>
          <w:kern w:val="2"/>
          <w:sz w:val="32"/>
          <w:szCs w:val="32"/>
          <w:lang w:eastAsia="zh-CN"/>
        </w:rPr>
        <w:t>。深化学校评价改革，</w:t>
      </w:r>
      <w:r>
        <w:rPr>
          <w:rFonts w:hint="eastAsia" w:ascii="仿宋_GB2312" w:hAnsi="仿宋" w:eastAsia="仿宋_GB2312" w:cs="Times New Roman"/>
          <w:snapToGrid/>
          <w:color w:val="000000"/>
          <w:kern w:val="2"/>
          <w:sz w:val="32"/>
          <w:szCs w:val="32"/>
          <w:lang w:val="en-US" w:eastAsia="zh-CN"/>
        </w:rPr>
        <w:t>健全</w:t>
      </w:r>
      <w:r>
        <w:rPr>
          <w:rFonts w:hint="eastAsia" w:ascii="仿宋_GB2312" w:hAnsi="仿宋" w:eastAsia="仿宋_GB2312" w:cs="Times New Roman"/>
          <w:snapToGrid/>
          <w:color w:val="000000"/>
          <w:kern w:val="2"/>
          <w:sz w:val="32"/>
          <w:szCs w:val="32"/>
          <w:lang w:eastAsia="zh-CN"/>
        </w:rPr>
        <w:t>完善不同学校差异化评价机制。深化教师职称制度改革，</w:t>
      </w:r>
      <w:r>
        <w:rPr>
          <w:rFonts w:hint="eastAsia" w:ascii="仿宋_GB2312" w:hAnsi="仿宋" w:eastAsia="仿宋_GB2312" w:cs="Times New Roman"/>
          <w:snapToGrid/>
          <w:color w:val="000000"/>
          <w:kern w:val="2"/>
          <w:sz w:val="32"/>
          <w:szCs w:val="32"/>
          <w:lang w:val="en-US" w:eastAsia="zh-CN"/>
        </w:rPr>
        <w:t>加大“破四唯”力度</w:t>
      </w:r>
      <w:r>
        <w:rPr>
          <w:rFonts w:hint="eastAsia" w:ascii="仿宋_GB2312" w:hAnsi="仿宋" w:eastAsia="仿宋_GB2312" w:cs="Times New Roman"/>
          <w:snapToGrid/>
          <w:color w:val="000000"/>
          <w:kern w:val="2"/>
          <w:sz w:val="32"/>
          <w:szCs w:val="32"/>
          <w:lang w:eastAsia="zh-CN"/>
        </w:rPr>
        <w:t>。完善学生综合素质评价体系，</w:t>
      </w:r>
      <w:r>
        <w:rPr>
          <w:rFonts w:hint="eastAsia" w:ascii="仿宋_GB2312" w:hAnsi="仿宋" w:eastAsia="仿宋_GB2312" w:cs="Times New Roman"/>
          <w:snapToGrid/>
          <w:color w:val="000000"/>
          <w:kern w:val="2"/>
          <w:sz w:val="32"/>
          <w:szCs w:val="32"/>
          <w:lang w:val="en-US" w:eastAsia="zh-CN"/>
        </w:rPr>
        <w:t>坚决纠正“分数至上”行为</w:t>
      </w:r>
      <w:r>
        <w:rPr>
          <w:rFonts w:hint="eastAsia" w:ascii="仿宋_GB2312" w:hAnsi="仿宋" w:eastAsia="仿宋_GB2312" w:cs="Times New Roman"/>
          <w:snapToGrid/>
          <w:color w:val="000000"/>
          <w:kern w:val="2"/>
          <w:sz w:val="32"/>
          <w:szCs w:val="32"/>
          <w:lang w:eastAsia="zh-CN"/>
        </w:rPr>
        <w:t>。</w:t>
      </w:r>
    </w:p>
    <w:p w14:paraId="4819A6F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2.深化考试招生改革</w:t>
      </w:r>
    </w:p>
    <w:p w14:paraId="196362C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深入推进中小学、幼儿园阳光招生，巩固义务教育免试就近入学和“公民同招”成效，完善入学事项“高效办成一件事”，落实随迁子女入学政策。普通高中全面实行属地招生，严格规范自主招生。强化教育考试保障，</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有序推进中考地理、生物科目和普通高考外语听力机考改革</w:t>
      </w:r>
      <w:r>
        <w:rPr>
          <w:rFonts w:hint="eastAsia" w:ascii="仿宋_GB2312" w:hAnsi="仿宋" w:eastAsia="仿宋_GB2312" w:cs="Times New Roman"/>
          <w:snapToGrid/>
          <w:color w:val="000000"/>
          <w:kern w:val="2"/>
          <w:sz w:val="32"/>
          <w:szCs w:val="32"/>
          <w:lang w:val="en-US" w:eastAsia="zh-CN"/>
        </w:rPr>
        <w:t>，深化普通高考综合改革。</w:t>
      </w:r>
    </w:p>
    <w:p w14:paraId="2206AE2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themeColor="text1"/>
          <w:kern w:val="2"/>
          <w:sz w:val="32"/>
          <w:szCs w:val="32"/>
          <w:lang w:val="en-US" w:eastAsia="zh-CN"/>
          <w14:textFill>
            <w14:solidFill>
              <w14:schemeClr w14:val="tx1"/>
            </w14:solidFill>
          </w14:textFill>
        </w:rPr>
      </w:pPr>
      <w:r>
        <w:rPr>
          <w:rFonts w:hint="eastAsia" w:ascii="仿宋_GB2312" w:hAnsi="仿宋" w:eastAsia="仿宋_GB2312" w:cs="Times New Roman"/>
          <w:b/>
          <w:bCs/>
          <w:snapToGrid/>
          <w:color w:val="000000" w:themeColor="text1"/>
          <w:kern w:val="2"/>
          <w:sz w:val="32"/>
          <w:szCs w:val="32"/>
          <w:lang w:val="en-US" w:eastAsia="zh-CN"/>
          <w14:textFill>
            <w14:solidFill>
              <w14:schemeClr w14:val="tx1"/>
            </w14:solidFill>
          </w14:textFill>
        </w:rPr>
        <w:t>3.充分发挥教育督导职能</w:t>
      </w:r>
    </w:p>
    <w:p w14:paraId="4A15ED3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trike w:val="0"/>
          <w:snapToGrid/>
          <w:color w:val="000000" w:themeColor="text1"/>
          <w:kern w:val="2"/>
          <w:sz w:val="32"/>
          <w:szCs w:val="32"/>
          <w:lang w:val="en-US" w:eastAsia="zh-CN"/>
          <w14:textFill>
            <w14:solidFill>
              <w14:schemeClr w14:val="tx1"/>
            </w14:solidFill>
          </w14:textFill>
        </w:rPr>
      </w:pP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完善督政、督学、评估监测教育督导体系，推动各级政府依法履行教育职责</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。持续推进县域义务教育优质均衡和学前教育普及普惠督导评估。</w:t>
      </w: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加强义务教育质量评估监测和结果运用。建强教育督导队伍</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，配齐配强</w:t>
      </w:r>
      <w:r>
        <w:rPr>
          <w:rFonts w:hint="eastAsia" w:ascii="仿宋_GB2312" w:hAnsi="仿宋" w:eastAsia="仿宋_GB2312" w:cs="Times New Roman"/>
          <w:strike w:val="0"/>
          <w:snapToGrid/>
          <w:color w:val="000000" w:themeColor="text1"/>
          <w:kern w:val="2"/>
          <w:sz w:val="32"/>
          <w:szCs w:val="32"/>
          <w:lang w:val="en-US" w:eastAsia="zh-CN"/>
          <w14:textFill>
            <w14:solidFill>
              <w14:schemeClr w14:val="tx1"/>
            </w14:solidFill>
          </w14:textFill>
        </w:rPr>
        <w:t>专兼职</w:t>
      </w:r>
      <w:r>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t>督学，建立督学专业素质提升机制。</w:t>
      </w:r>
    </w:p>
    <w:p w14:paraId="58DAA51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4.推进依法治教依法治校</w:t>
      </w:r>
    </w:p>
    <w:p w14:paraId="12568B9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加大教育系统法治建设力度，建立健全以章程为核心的学校治理体系。完善师生科研诚信和作风学风建设机制。持续开展“学宪法、讲宪法”系列活动。引导规范民办教育发展。</w:t>
      </w:r>
    </w:p>
    <w:p w14:paraId="3FBBED4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val="en-US" w:eastAsia="zh-CN"/>
        </w:rPr>
        <w:t>5</w:t>
      </w:r>
      <w:r>
        <w:rPr>
          <w:rFonts w:hint="eastAsia" w:ascii="仿宋_GB2312" w:hAnsi="仿宋" w:eastAsia="仿宋_GB2312" w:cs="Times New Roman"/>
          <w:b/>
          <w:bCs/>
          <w:snapToGrid/>
          <w:color w:val="000000"/>
          <w:kern w:val="2"/>
          <w:sz w:val="32"/>
          <w:szCs w:val="32"/>
          <w:lang w:eastAsia="zh-CN"/>
        </w:rPr>
        <w:t>.健全教育投入机制</w:t>
      </w:r>
    </w:p>
    <w:p w14:paraId="258C557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val="en-US" w:eastAsia="zh-CN"/>
        </w:rPr>
        <w:t>加大财政教育投入力度</w:t>
      </w:r>
      <w:r>
        <w:rPr>
          <w:rFonts w:hint="eastAsia" w:ascii="仿宋_GB2312" w:hAnsi="仿宋" w:eastAsia="仿宋_GB2312" w:cs="Times New Roman"/>
          <w:snapToGrid/>
          <w:color w:val="000000"/>
          <w:kern w:val="2"/>
          <w:sz w:val="32"/>
          <w:szCs w:val="32"/>
          <w:lang w:eastAsia="zh-CN"/>
        </w:rPr>
        <w:t>，确保落实“两个只增不减”。</w:t>
      </w:r>
      <w:r>
        <w:rPr>
          <w:rFonts w:hint="eastAsia" w:ascii="仿宋_GB2312" w:hAnsi="仿宋" w:eastAsia="仿宋_GB2312" w:cs="Times New Roman"/>
          <w:snapToGrid/>
          <w:color w:val="000000"/>
          <w:kern w:val="2"/>
          <w:sz w:val="32"/>
          <w:szCs w:val="32"/>
          <w:lang w:val="en-US" w:eastAsia="zh-CN"/>
        </w:rPr>
        <w:t>落实</w:t>
      </w:r>
      <w:r>
        <w:rPr>
          <w:rFonts w:hint="eastAsia" w:ascii="仿宋_GB2312" w:hAnsi="仿宋" w:eastAsia="仿宋_GB2312" w:cs="Times New Roman"/>
          <w:snapToGrid/>
          <w:color w:val="000000"/>
          <w:kern w:val="2"/>
          <w:sz w:val="32"/>
          <w:szCs w:val="32"/>
          <w:lang w:eastAsia="zh-CN"/>
        </w:rPr>
        <w:t>各级各类教育预算拨款制度。完善义务教育经费保障机制。健全非义务教育培养成本分担机制，逐步完善与财政拨款、资助水平等相适应的学费、住宿费收费标准动态调整机制。</w:t>
      </w:r>
      <w:r>
        <w:rPr>
          <w:rFonts w:hint="eastAsia" w:ascii="仿宋_GB2312" w:hAnsi="仿宋" w:eastAsia="仿宋_GB2312" w:cs="Times New Roman"/>
          <w:snapToGrid/>
          <w:color w:val="000000"/>
          <w:kern w:val="2"/>
          <w:sz w:val="32"/>
          <w:szCs w:val="32"/>
          <w:lang w:val="en-US" w:eastAsia="zh-CN"/>
        </w:rPr>
        <w:t>引导规范社会力量投入和捐赠教育</w:t>
      </w:r>
      <w:r>
        <w:rPr>
          <w:rFonts w:hint="eastAsia" w:ascii="仿宋_GB2312" w:hAnsi="仿宋" w:eastAsia="仿宋_GB2312" w:cs="Times New Roman"/>
          <w:snapToGrid/>
          <w:color w:val="000000"/>
          <w:kern w:val="2"/>
          <w:sz w:val="32"/>
          <w:szCs w:val="32"/>
          <w:lang w:eastAsia="zh-CN"/>
        </w:rPr>
        <w:t>。完善覆盖全学段学生资助体系。优化教育支出结构，重点向薄弱地区、薄弱环节和关键领域倾斜。</w:t>
      </w:r>
    </w:p>
    <w:p w14:paraId="3BA4A1C4">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(九)推进高水平教育对外开放</w:t>
      </w:r>
    </w:p>
    <w:p w14:paraId="3899333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1.深化教育资源合作</w:t>
      </w:r>
    </w:p>
    <w:p w14:paraId="7E6E907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推进“一带一路”教育行动计划，支持校际涉外合作。</w:t>
      </w:r>
      <w:r>
        <w:rPr>
          <w:rFonts w:hint="eastAsia" w:ascii="仿宋_GB2312" w:hAnsi="仿宋" w:eastAsia="仿宋_GB2312" w:cs="Times New Roman"/>
          <w:snapToGrid/>
          <w:color w:val="000000"/>
          <w:kern w:val="2"/>
          <w:sz w:val="32"/>
          <w:szCs w:val="32"/>
          <w:u w:val="none"/>
          <w:lang w:val="en-US" w:eastAsia="zh-CN"/>
        </w:rPr>
        <w:t>支持高校共建“一带一路”联合实验室、学科创新引智基地等创新引智平台。</w:t>
      </w:r>
      <w:r>
        <w:rPr>
          <w:rFonts w:hint="eastAsia" w:ascii="仿宋_GB2312" w:hAnsi="仿宋" w:eastAsia="仿宋_GB2312" w:cs="Times New Roman"/>
          <w:snapToGrid/>
          <w:color w:val="000000"/>
          <w:kern w:val="2"/>
          <w:sz w:val="32"/>
          <w:szCs w:val="32"/>
          <w:lang w:val="en-US" w:eastAsia="zh-CN"/>
        </w:rPr>
        <w:t>深化与港澳教育交流合作，支持在浔开展合作办学和共建创新研究院。</w:t>
      </w:r>
    </w:p>
    <w:p w14:paraId="04BDB32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2.加强教育对外开放</w:t>
      </w:r>
    </w:p>
    <w:p w14:paraId="65FCCC8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支持高校与浔资企业“抱团出海”，</w:t>
      </w:r>
      <w:r>
        <w:rPr>
          <w:rFonts w:hint="eastAsia" w:ascii="仿宋_GB2312" w:hAnsi="仿宋" w:eastAsia="仿宋_GB2312" w:cs="Times New Roman"/>
          <w:snapToGrid/>
          <w:color w:val="000000"/>
          <w:kern w:val="2"/>
          <w:sz w:val="32"/>
          <w:szCs w:val="32"/>
          <w:lang w:eastAsia="zh-CN"/>
        </w:rPr>
        <w:t>建设海外分校和技能培训中心。</w:t>
      </w:r>
      <w:r>
        <w:rPr>
          <w:rFonts w:hint="eastAsia" w:ascii="仿宋_GB2312" w:hAnsi="仿宋" w:eastAsia="仿宋_GB2312" w:cs="Times New Roman"/>
          <w:snapToGrid/>
          <w:color w:val="000000"/>
          <w:kern w:val="2"/>
          <w:sz w:val="32"/>
          <w:szCs w:val="32"/>
          <w:lang w:val="en-US" w:eastAsia="zh-CN"/>
        </w:rPr>
        <w:t>支持中小学与境外学校建立友好关系，开展校际间教师互派、学生互换等。完善外籍教师聘任和管理制度。</w:t>
      </w:r>
    </w:p>
    <w:p w14:paraId="5EB8E88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val="en-US" w:eastAsia="zh-CN"/>
        </w:rPr>
      </w:pPr>
      <w:r>
        <w:rPr>
          <w:rFonts w:hint="eastAsia" w:ascii="仿宋_GB2312" w:hAnsi="仿宋" w:eastAsia="仿宋_GB2312" w:cs="Times New Roman"/>
          <w:b/>
          <w:bCs/>
          <w:snapToGrid/>
          <w:color w:val="000000"/>
          <w:kern w:val="2"/>
          <w:sz w:val="32"/>
          <w:szCs w:val="32"/>
          <w:lang w:val="en-US" w:eastAsia="zh-CN"/>
        </w:rPr>
        <w:t>3.推进中外</w:t>
      </w:r>
      <w:r>
        <w:rPr>
          <w:rFonts w:hint="eastAsia" w:ascii="仿宋_GB2312" w:hAnsi="仿宋" w:eastAsia="仿宋_GB2312" w:cs="Times New Roman"/>
          <w:b/>
          <w:bCs/>
          <w:strike w:val="0"/>
          <w:snapToGrid/>
          <w:color w:val="000000"/>
          <w:kern w:val="2"/>
          <w:sz w:val="32"/>
          <w:szCs w:val="32"/>
          <w:lang w:val="en-US" w:eastAsia="zh-CN"/>
        </w:rPr>
        <w:t>人文</w:t>
      </w:r>
      <w:r>
        <w:rPr>
          <w:rFonts w:hint="eastAsia" w:ascii="仿宋_GB2312" w:hAnsi="仿宋" w:eastAsia="仿宋_GB2312" w:cs="Times New Roman"/>
          <w:b/>
          <w:bCs/>
          <w:snapToGrid/>
          <w:color w:val="000000"/>
          <w:kern w:val="2"/>
          <w:sz w:val="32"/>
          <w:szCs w:val="32"/>
          <w:lang w:val="en-US" w:eastAsia="zh-CN"/>
        </w:rPr>
        <w:t>交流</w:t>
      </w:r>
    </w:p>
    <w:p w14:paraId="26A6C34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val="en-US" w:eastAsia="zh-CN"/>
        </w:rPr>
      </w:pPr>
      <w:r>
        <w:rPr>
          <w:rFonts w:hint="eastAsia" w:ascii="仿宋_GB2312" w:hAnsi="仿宋" w:eastAsia="仿宋_GB2312" w:cs="Times New Roman"/>
          <w:snapToGrid/>
          <w:color w:val="000000"/>
          <w:kern w:val="2"/>
          <w:sz w:val="32"/>
          <w:szCs w:val="32"/>
          <w:lang w:val="en-US" w:eastAsia="zh-CN"/>
        </w:rPr>
        <w:t>支持吸引扩大国（境）外学生来浔留学、交流。积极参与国家对外人文教育交流合作，讲好“九江故事”。鼓励教师赴国（境）外从事汉语教学志愿服务工作。加强中小学国际理解教育，牢固树立人类命运共同体意识，培养具有国际视野的新时代青少年。</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D7F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014E1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重大工程11：</w:t>
            </w:r>
            <w:r>
              <w:rPr>
                <w:rFonts w:hint="eastAsia" w:ascii="黑体" w:hAnsi="黑体" w:eastAsia="黑体" w:cs="黑体"/>
                <w:b w:val="0"/>
                <w:bCs w:val="0"/>
                <w:snapToGrid/>
                <w:color w:val="000000"/>
                <w:kern w:val="2"/>
                <w:sz w:val="32"/>
                <w:szCs w:val="32"/>
                <w:lang w:val="en-US" w:eastAsia="zh-CN" w:bidi="ar-SA"/>
              </w:rPr>
              <w:t>国际合作交流提升工程</w:t>
            </w:r>
          </w:p>
        </w:tc>
      </w:tr>
      <w:tr w14:paraId="307B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E0DC29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教育对外开放格局不断扩大，教育国际合作交流不断增强，吸引更多国外学生来浔学习。</w:t>
            </w:r>
          </w:p>
          <w:p w14:paraId="0E4F355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499B00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trike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w:t>
            </w:r>
            <w:r>
              <w:rPr>
                <w:rFonts w:hint="eastAsia" w:ascii="华文楷体" w:hAnsi="华文楷体" w:eastAsia="华文楷体" w:cs="华文楷体"/>
                <w:snapToGrid/>
                <w:kern w:val="2"/>
                <w:sz w:val="28"/>
                <w:szCs w:val="28"/>
                <w:lang w:eastAsia="zh-CN"/>
              </w:rPr>
              <w:t>打造九江特色教育对外交流品牌。积极推动共建“一带一路”教育行动，加强与沿线国家在教育领域的合作与交流。吸引更多国外学生来九江学习深造，鼓励优秀教师赴国（境）外从事汉语教学志愿服务工作，全力支持办好孔子学院和孔子课堂。</w:t>
            </w:r>
            <w:r>
              <w:rPr>
                <w:rFonts w:hint="eastAsia" w:ascii="华文楷体" w:hAnsi="华文楷体" w:eastAsia="华文楷体" w:cs="华文楷体"/>
                <w:b w:val="0"/>
                <w:bCs w:val="0"/>
                <w:strike w:val="0"/>
                <w:snapToGrid/>
                <w:color w:val="000000"/>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2.宣传“留学九江”优势。完善中小学及高校留学生招生、培养、管理与服务机制，推进中外学生趋同化管理。扩大面向“一带一路”沿线国家的海外招生宣传，扩大来浔留学生规模。</w:t>
            </w:r>
            <w:r>
              <w:rPr>
                <w:rFonts w:hint="eastAsia" w:ascii="华文楷体" w:hAnsi="华文楷体" w:eastAsia="华文楷体" w:cs="华文楷体"/>
                <w:b w:val="0"/>
                <w:bCs w:val="0"/>
                <w:snapToGrid/>
                <w:color w:val="000000"/>
                <w:kern w:val="2"/>
                <w:sz w:val="28"/>
                <w:szCs w:val="28"/>
                <w:lang w:val="en-US" w:eastAsia="zh-CN"/>
              </w:rPr>
              <w:br w:type="textWrapping"/>
            </w:r>
            <w:r>
              <w:rPr>
                <w:rFonts w:hint="eastAsia" w:ascii="华文楷体" w:hAnsi="华文楷体" w:eastAsia="华文楷体" w:cs="华文楷体"/>
                <w:b w:val="0"/>
                <w:bCs w:val="0"/>
                <w:snapToGrid/>
                <w:color w:val="000000"/>
                <w:kern w:val="2"/>
                <w:sz w:val="28"/>
                <w:szCs w:val="28"/>
                <w:lang w:val="en-US" w:eastAsia="zh-CN"/>
              </w:rPr>
              <w:t xml:space="preserve">   3.推动人文交流合作。依托庐山世界文化遗产、白鹿洞书院等独特资源，开展形式多样的人文交流活动及青少年研学互访，扩大九江教育国际影响力。</w:t>
            </w:r>
          </w:p>
          <w:p w14:paraId="31B33D5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与美国、俄罗斯、英国、芬兰、日本、泰国等国家开展广泛而深入的教育交流与合作。创新交流特色，拓展交流模式，深化教育国际合作与中外人文交流，提升教育开放合作的层次与水平。</w:t>
            </w:r>
          </w:p>
        </w:tc>
      </w:tr>
    </w:tbl>
    <w:p w14:paraId="2BD7817B">
      <w:pPr>
        <w:pStyle w:val="6"/>
        <w:widowControl/>
        <w:shd w:val="clear" w:color="auto" w:fill="FFFFFF"/>
        <w:ind w:firstLine="630" w:firstLineChars="196"/>
        <w:rPr>
          <w:rFonts w:hint="eastAsia" w:ascii="仿宋_GB2312" w:hAnsi="仿宋" w:eastAsia="仿宋_GB2312" w:cs="Times New Roman"/>
          <w:snapToGrid/>
          <w:color w:val="000000" w:themeColor="text1"/>
          <w:kern w:val="2"/>
          <w:sz w:val="32"/>
          <w:szCs w:val="32"/>
          <w:lang w:eastAsia="zh-CN"/>
          <w14:textFill>
            <w14:solidFill>
              <w14:schemeClr w14:val="tx1"/>
            </w14:solidFill>
          </w14:textFill>
        </w:rPr>
      </w:pPr>
      <w:r>
        <w:rPr>
          <w:rFonts w:hint="eastAsia" w:ascii="楷体_GB2312" w:hAnsi="仿宋" w:eastAsia="楷体_GB2312" w:cs="宋体"/>
          <w:b/>
          <w:bCs/>
          <w:snapToGrid/>
          <w:color w:val="000000"/>
          <w:kern w:val="0"/>
          <w:sz w:val="32"/>
          <w:szCs w:val="32"/>
          <w:lang w:eastAsia="zh-CN"/>
        </w:rPr>
        <w:t>(十)提升教育领域本质安全水平</w:t>
      </w:r>
    </w:p>
    <w:p w14:paraId="6724E77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1.完善教育系统大安全工作体系</w:t>
      </w:r>
    </w:p>
    <w:p w14:paraId="1C61602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trike w:val="0"/>
          <w:snapToGrid/>
          <w:color w:val="000000" w:themeColor="text1"/>
          <w:kern w:val="2"/>
          <w:sz w:val="32"/>
          <w:szCs w:val="32"/>
          <w:lang w:eastAsia="zh-CN"/>
          <w14:textFill>
            <w14:solidFill>
              <w14:schemeClr w14:val="tx1"/>
            </w14:solidFill>
          </w14:textFill>
        </w:rPr>
      </w:pPr>
      <w:r>
        <w:rPr>
          <w:rFonts w:hint="eastAsia" w:ascii="仿宋_GB2312" w:hAnsi="仿宋" w:eastAsia="仿宋_GB2312" w:cs="Times New Roman"/>
          <w:snapToGrid/>
          <w:color w:val="000000" w:themeColor="text1"/>
          <w:kern w:val="2"/>
          <w:sz w:val="32"/>
          <w:szCs w:val="32"/>
          <w:lang w:val="en-US" w:eastAsia="zh-CN"/>
          <w14:textFill>
            <w14:solidFill>
              <w14:schemeClr w14:val="tx1"/>
            </w14:solidFill>
          </w14:textFill>
        </w:rPr>
        <w:t>完善维护教育安全体制机制，健全综合协调、分级负责、属地管理为主的教育安全责任体系，系统构建校内校外、线上线下、教育内外齐抓共管的大安全工作格局。</w:t>
      </w:r>
    </w:p>
    <w:p w14:paraId="04996DF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2.强化安全治理能力建设</w:t>
      </w:r>
    </w:p>
    <w:p w14:paraId="1AE0A3E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trike w:val="0"/>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把政治安全和意识形态安全摆在首位，</w:t>
      </w:r>
      <w:r>
        <w:rPr>
          <w:rFonts w:hint="eastAsia" w:ascii="仿宋_GB2312" w:hAnsi="仿宋" w:eastAsia="仿宋_GB2312" w:cs="Times New Roman"/>
          <w:snapToGrid/>
          <w:color w:val="000000"/>
          <w:kern w:val="2"/>
          <w:sz w:val="32"/>
          <w:szCs w:val="32"/>
          <w:lang w:val="en-US" w:eastAsia="zh-CN"/>
        </w:rPr>
        <w:t>坚决抵制和防范宗教向学校渗透。</w:t>
      </w:r>
      <w:r>
        <w:rPr>
          <w:rFonts w:hint="eastAsia" w:ascii="仿宋_GB2312" w:hAnsi="仿宋" w:eastAsia="仿宋_GB2312" w:cs="Times New Roman"/>
          <w:snapToGrid/>
          <w:kern w:val="2"/>
          <w:sz w:val="32"/>
          <w:szCs w:val="32"/>
          <w:lang w:eastAsia="zh-CN"/>
        </w:rPr>
        <w:t>配齐建强校园安保队伍。加快推进智能化安防体系。</w:t>
      </w:r>
      <w:r>
        <w:rPr>
          <w:rFonts w:hint="eastAsia" w:ascii="仿宋_GB2312" w:hAnsi="仿宋" w:eastAsia="仿宋_GB2312" w:cs="Times New Roman"/>
          <w:strike w:val="0"/>
          <w:snapToGrid/>
          <w:kern w:val="2"/>
          <w:sz w:val="32"/>
          <w:szCs w:val="32"/>
          <w:lang w:val="en-US" w:eastAsia="zh-CN"/>
        </w:rPr>
        <w:t>完善校园安全基础数据库</w:t>
      </w:r>
      <w:r>
        <w:rPr>
          <w:rFonts w:hint="eastAsia" w:ascii="仿宋_GB2312" w:hAnsi="仿宋" w:eastAsia="仿宋_GB2312" w:cs="Times New Roman"/>
          <w:strike w:val="0"/>
          <w:snapToGrid/>
          <w:kern w:val="2"/>
          <w:sz w:val="32"/>
          <w:szCs w:val="32"/>
          <w:lang w:eastAsia="zh-CN"/>
        </w:rPr>
        <w:t>，</w:t>
      </w:r>
      <w:r>
        <w:rPr>
          <w:rFonts w:hint="eastAsia" w:ascii="仿宋_GB2312" w:hAnsi="仿宋" w:eastAsia="仿宋_GB2312" w:cs="Times New Roman"/>
          <w:strike w:val="0"/>
          <w:snapToGrid/>
          <w:kern w:val="2"/>
          <w:sz w:val="32"/>
          <w:szCs w:val="32"/>
          <w:lang w:val="en-US" w:eastAsia="zh-CN"/>
        </w:rPr>
        <w:t>建立安全生产</w:t>
      </w:r>
      <w:r>
        <w:rPr>
          <w:rFonts w:hint="eastAsia" w:ascii="仿宋_GB2312" w:hAnsi="仿宋" w:eastAsia="仿宋_GB2312" w:cs="Times New Roman"/>
          <w:strike w:val="0"/>
          <w:snapToGrid/>
          <w:kern w:val="2"/>
          <w:sz w:val="32"/>
          <w:szCs w:val="32"/>
          <w:lang w:eastAsia="zh-CN"/>
        </w:rPr>
        <w:t>风险隐患常态化排查</w:t>
      </w:r>
      <w:r>
        <w:rPr>
          <w:rFonts w:hint="eastAsia" w:ascii="仿宋_GB2312" w:hAnsi="仿宋" w:eastAsia="仿宋_GB2312" w:cs="Times New Roman"/>
          <w:strike w:val="0"/>
          <w:snapToGrid/>
          <w:kern w:val="2"/>
          <w:sz w:val="32"/>
          <w:szCs w:val="32"/>
          <w:lang w:val="en-US" w:eastAsia="zh-CN"/>
        </w:rPr>
        <w:t>机制</w:t>
      </w:r>
      <w:r>
        <w:rPr>
          <w:rFonts w:hint="eastAsia" w:ascii="仿宋_GB2312" w:hAnsi="仿宋" w:eastAsia="仿宋_GB2312" w:cs="Times New Roman"/>
          <w:strike w:val="0"/>
          <w:snapToGrid/>
          <w:kern w:val="2"/>
          <w:sz w:val="32"/>
          <w:szCs w:val="32"/>
          <w:lang w:eastAsia="zh-CN"/>
        </w:rPr>
        <w:t>，</w:t>
      </w:r>
      <w:r>
        <w:rPr>
          <w:rFonts w:hint="eastAsia" w:ascii="仿宋_GB2312" w:hAnsi="仿宋" w:eastAsia="仿宋_GB2312" w:cs="Times New Roman"/>
          <w:strike w:val="0"/>
          <w:snapToGrid/>
          <w:kern w:val="2"/>
          <w:sz w:val="32"/>
          <w:szCs w:val="32"/>
          <w:lang w:val="en-US" w:eastAsia="zh-CN"/>
        </w:rPr>
        <w:t>动态消除重大事故隐患。</w:t>
      </w:r>
    </w:p>
    <w:p w14:paraId="58F93C7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cs="Times New Roman"/>
          <w:b/>
          <w:bCs/>
          <w:snapToGrid/>
          <w:color w:val="000000"/>
          <w:kern w:val="2"/>
          <w:sz w:val="32"/>
          <w:szCs w:val="32"/>
          <w:lang w:eastAsia="zh-CN"/>
        </w:rPr>
      </w:pPr>
      <w:r>
        <w:rPr>
          <w:rFonts w:hint="eastAsia" w:ascii="仿宋_GB2312" w:hAnsi="仿宋" w:eastAsia="仿宋_GB2312" w:cs="Times New Roman"/>
          <w:b/>
          <w:bCs/>
          <w:snapToGrid/>
          <w:color w:val="000000"/>
          <w:kern w:val="2"/>
          <w:sz w:val="32"/>
          <w:szCs w:val="32"/>
          <w:lang w:eastAsia="zh-CN"/>
        </w:rPr>
        <w:t>3.提升安全风险应对处置能力</w:t>
      </w:r>
    </w:p>
    <w:p w14:paraId="7CF6A7D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kern w:val="2"/>
          <w:sz w:val="32"/>
          <w:szCs w:val="32"/>
          <w:lang w:eastAsia="zh-CN"/>
        </w:rPr>
        <w:t>完善教育系统突发事件分级分类处置规范指引，全面提升应急处置实战能力。常态化开展安全宣传教育与应急实战演练。建强做实教育舆情工作专班</w:t>
      </w:r>
      <w:r>
        <w:rPr>
          <w:rFonts w:hint="eastAsia" w:ascii="仿宋_GB2312" w:hAnsi="仿宋" w:eastAsia="仿宋_GB2312" w:cs="Times New Roman"/>
          <w:snapToGrid/>
          <w:kern w:val="2"/>
          <w:sz w:val="32"/>
          <w:szCs w:val="32"/>
          <w:lang w:val="en-US" w:eastAsia="zh-CN"/>
        </w:rPr>
        <w:t>队伍。</w:t>
      </w:r>
      <w:r>
        <w:rPr>
          <w:rFonts w:hint="eastAsia" w:ascii="仿宋_GB2312" w:hAnsi="仿宋" w:eastAsia="仿宋_GB2312" w:cs="Times New Roman"/>
          <w:snapToGrid/>
          <w:kern w:val="2"/>
          <w:sz w:val="32"/>
          <w:szCs w:val="32"/>
          <w:lang w:eastAsia="zh-CN"/>
        </w:rPr>
        <w:t>健全师生矛盾纠纷多元化解机制，完善学生伤害事故调解处置流程，</w:t>
      </w:r>
      <w:r>
        <w:rPr>
          <w:rFonts w:hint="eastAsia" w:ascii="仿宋_GB2312" w:hAnsi="仿宋" w:eastAsia="仿宋_GB2312" w:cs="Times New Roman"/>
          <w:snapToGrid/>
          <w:kern w:val="2"/>
          <w:sz w:val="32"/>
          <w:szCs w:val="32"/>
          <w:lang w:val="en-US" w:eastAsia="zh-CN"/>
        </w:rPr>
        <w:t>探索校园安全风险社会化分担机制</w:t>
      </w:r>
      <w:r>
        <w:rPr>
          <w:rFonts w:hint="eastAsia" w:ascii="仿宋_GB2312" w:hAnsi="仿宋" w:eastAsia="仿宋_GB2312" w:cs="Times New Roman"/>
          <w:snapToGrid/>
          <w:kern w:val="2"/>
          <w:sz w:val="32"/>
          <w:szCs w:val="32"/>
          <w:lang w:eastAsia="zh-CN"/>
        </w:rPr>
        <w:t>，全面提升校园安全防控效能与综合治理水平。</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8FC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17CF1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 w:eastAsia="仿宋_GB2312" w:cs="Times New Roman"/>
                <w:b w:val="0"/>
                <w:bCs w:val="0"/>
                <w:snapToGrid/>
                <w:color w:val="000000"/>
                <w:kern w:val="2"/>
                <w:sz w:val="32"/>
                <w:szCs w:val="32"/>
                <w:vertAlign w:val="baseline"/>
                <w:lang w:val="en-US" w:eastAsia="zh-CN"/>
              </w:rPr>
            </w:pPr>
            <w:r>
              <w:rPr>
                <w:rFonts w:hint="eastAsia" w:ascii="华文楷体" w:hAnsi="华文楷体" w:eastAsia="华文楷体" w:cs="华文楷体"/>
                <w:b w:val="0"/>
                <w:bCs w:val="0"/>
                <w:snapToGrid/>
                <w:color w:val="000000"/>
                <w:kern w:val="2"/>
                <w:sz w:val="32"/>
                <w:szCs w:val="32"/>
                <w:lang w:val="en-US" w:eastAsia="zh-CN" w:bidi="ar-SA"/>
              </w:rPr>
              <w:t>重大工程12：</w:t>
            </w:r>
            <w:r>
              <w:rPr>
                <w:rFonts w:hint="eastAsia" w:ascii="黑体" w:hAnsi="黑体" w:eastAsia="黑体" w:cs="黑体"/>
                <w:b w:val="0"/>
                <w:bCs w:val="0"/>
                <w:snapToGrid/>
                <w:color w:val="000000"/>
                <w:kern w:val="2"/>
                <w:sz w:val="32"/>
                <w:szCs w:val="32"/>
                <w:lang w:val="en-US" w:eastAsia="zh-CN" w:bidi="ar-SA"/>
              </w:rPr>
              <w:t>教育系统本质安全提升工程</w:t>
            </w:r>
          </w:p>
        </w:tc>
      </w:tr>
      <w:tr w14:paraId="090F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995DDC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目标：</w:t>
            </w:r>
            <w:r>
              <w:rPr>
                <w:rFonts w:hint="eastAsia" w:ascii="华文楷体" w:hAnsi="华文楷体" w:eastAsia="华文楷体" w:cs="华文楷体"/>
                <w:b w:val="0"/>
                <w:bCs w:val="0"/>
                <w:snapToGrid/>
                <w:color w:val="000000"/>
                <w:kern w:val="2"/>
                <w:sz w:val="28"/>
                <w:szCs w:val="28"/>
                <w:lang w:val="en-US" w:eastAsia="zh-CN"/>
              </w:rPr>
              <w:t>构建教育系统大安全工作体系，牢牢守住不引发重大舆情、不发生线下规模性聚集、不出现涉政重大事件底线。</w:t>
            </w:r>
          </w:p>
          <w:p w14:paraId="1D4F0C9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黑体" w:hAnsi="黑体" w:eastAsia="黑体" w:cs="黑体"/>
                <w:b w:val="0"/>
                <w:bCs w:val="0"/>
                <w:snapToGrid/>
                <w:color w:val="000000"/>
                <w:kern w:val="2"/>
                <w:sz w:val="28"/>
                <w:szCs w:val="28"/>
                <w:lang w:val="en-US" w:eastAsia="zh-CN"/>
              </w:rPr>
            </w:pPr>
            <w:r>
              <w:rPr>
                <w:rFonts w:hint="eastAsia" w:ascii="黑体" w:hAnsi="黑体" w:eastAsia="黑体" w:cs="黑体"/>
                <w:b w:val="0"/>
                <w:bCs w:val="0"/>
                <w:snapToGrid/>
                <w:color w:val="000000"/>
                <w:kern w:val="2"/>
                <w:sz w:val="28"/>
                <w:szCs w:val="28"/>
                <w:lang w:val="en-US" w:eastAsia="zh-CN"/>
              </w:rPr>
              <w:t>举措：</w:t>
            </w:r>
          </w:p>
          <w:p w14:paraId="15FE17F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1.健全教育安全工作体系。完善多部门协同管理体制，明确教育安全事故责任主体。探索建立学校安全“尽职免责”制度。</w:t>
            </w:r>
          </w:p>
          <w:p w14:paraId="2D60D84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2.加强教育安全治理能力建设。建设教育安全监测系统，编制教育安全工作指南，组织重大突发情况应对专业训练和实战演练。</w:t>
            </w:r>
          </w:p>
          <w:p w14:paraId="6647750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华文楷体" w:hAnsi="华文楷体" w:eastAsia="华文楷体" w:cs="华文楷体"/>
                <w:b w:val="0"/>
                <w:bCs w:val="0"/>
                <w:snapToGrid/>
                <w:color w:val="000000"/>
                <w:kern w:val="2"/>
                <w:sz w:val="28"/>
                <w:szCs w:val="28"/>
                <w:lang w:val="en-US" w:eastAsia="zh-CN"/>
              </w:rPr>
            </w:pPr>
            <w:r>
              <w:rPr>
                <w:rFonts w:hint="eastAsia" w:ascii="华文楷体" w:hAnsi="华文楷体" w:eastAsia="华文楷体" w:cs="华文楷体"/>
                <w:b w:val="0"/>
                <w:bCs w:val="0"/>
                <w:snapToGrid/>
                <w:color w:val="000000"/>
                <w:kern w:val="2"/>
                <w:sz w:val="28"/>
                <w:szCs w:val="28"/>
                <w:lang w:val="en-US" w:eastAsia="zh-CN"/>
              </w:rPr>
              <w:t>3.探索矛盾纠纷多元化解机制。推动设立教育领域调解委员会，探索建立教育纠纷仲裁制度，构建校内一站式多元解纷机制。</w:t>
            </w:r>
          </w:p>
          <w:p w14:paraId="58D4DEA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 w:eastAsia="仿宋_GB2312" w:cs="Times New Roman"/>
                <w:b w:val="0"/>
                <w:bCs w:val="0"/>
                <w:snapToGrid/>
                <w:color w:val="000000"/>
                <w:kern w:val="2"/>
                <w:sz w:val="32"/>
                <w:szCs w:val="32"/>
                <w:lang w:val="en-US" w:eastAsia="zh-CN"/>
              </w:rPr>
            </w:pPr>
            <w:r>
              <w:rPr>
                <w:rFonts w:hint="eastAsia" w:ascii="黑体" w:hAnsi="黑体" w:eastAsia="黑体" w:cs="黑体"/>
                <w:b w:val="0"/>
                <w:bCs w:val="0"/>
                <w:snapToGrid/>
                <w:color w:val="000000"/>
                <w:kern w:val="2"/>
                <w:sz w:val="28"/>
                <w:szCs w:val="28"/>
                <w:lang w:val="en-US" w:eastAsia="zh-CN"/>
              </w:rPr>
              <w:t>效果：</w:t>
            </w:r>
            <w:r>
              <w:rPr>
                <w:rFonts w:hint="eastAsia" w:ascii="华文楷体" w:hAnsi="华文楷体" w:eastAsia="华文楷体" w:cs="华文楷体"/>
                <w:b w:val="0"/>
                <w:bCs w:val="0"/>
                <w:snapToGrid/>
                <w:color w:val="000000"/>
                <w:kern w:val="2"/>
                <w:sz w:val="28"/>
                <w:szCs w:val="28"/>
                <w:lang w:val="en-US" w:eastAsia="zh-CN"/>
              </w:rPr>
              <w:t>教育大安全治理能力有效提升，干部师生风险防范意识和底线思维不断增强，教育系统守住安全风险底线。</w:t>
            </w:r>
          </w:p>
        </w:tc>
      </w:tr>
    </w:tbl>
    <w:p w14:paraId="010BB8FF">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27" w:firstLineChars="196"/>
        <w:jc w:val="left"/>
        <w:textAlignment w:val="auto"/>
        <w:rPr>
          <w:rFonts w:hint="eastAsia" w:ascii="黑体" w:hAnsi="黑体" w:eastAsia="黑体" w:cs="宋体"/>
          <w:bCs/>
          <w:snapToGrid/>
          <w:color w:val="000000"/>
          <w:kern w:val="0"/>
          <w:sz w:val="32"/>
          <w:szCs w:val="32"/>
          <w:lang w:eastAsia="zh-CN"/>
        </w:rPr>
      </w:pPr>
      <w:r>
        <w:rPr>
          <w:rFonts w:hint="eastAsia" w:ascii="黑体" w:hAnsi="黑体" w:eastAsia="黑体" w:cs="宋体"/>
          <w:bCs/>
          <w:snapToGrid/>
          <w:color w:val="000000"/>
          <w:kern w:val="0"/>
          <w:sz w:val="32"/>
          <w:szCs w:val="32"/>
          <w:lang w:eastAsia="zh-CN"/>
        </w:rPr>
        <w:t>四、组织实施</w:t>
      </w:r>
    </w:p>
    <w:p w14:paraId="59B6917E">
      <w:pPr>
        <w:pStyle w:val="6"/>
        <w:keepNext w:val="0"/>
        <w:keepLines w:val="0"/>
        <w:pageBreakBefore w:val="0"/>
        <w:widowControl/>
        <w:shd w:val="clear" w:color="auto" w:fill="FFFFFF"/>
        <w:kinsoku/>
        <w:wordWrap/>
        <w:overflowPunct/>
        <w:topLinePunct w:val="0"/>
        <w:autoSpaceDE/>
        <w:autoSpaceDN/>
        <w:bidi w:val="0"/>
        <w:adjustRightInd/>
        <w:snapToGrid/>
        <w:spacing w:line="540" w:lineRule="exact"/>
        <w:ind w:firstLine="630" w:firstLineChars="196"/>
        <w:jc w:val="left"/>
        <w:textAlignment w:val="auto"/>
        <w:rPr>
          <w:rFonts w:hint="eastAsia" w:ascii="楷体_GB2312" w:hAnsi="仿宋" w:eastAsia="楷体_GB2312" w:cs="宋体"/>
          <w:b/>
          <w:bCs/>
          <w:snapToGrid/>
          <w:color w:val="000000"/>
          <w:kern w:val="0"/>
          <w:sz w:val="32"/>
          <w:szCs w:val="32"/>
          <w:lang w:eastAsia="zh-CN"/>
        </w:rPr>
      </w:pPr>
      <w:r>
        <w:rPr>
          <w:rFonts w:hint="eastAsia" w:ascii="楷体_GB2312" w:hAnsi="仿宋" w:eastAsia="楷体_GB2312" w:cs="宋体"/>
          <w:b/>
          <w:bCs/>
          <w:snapToGrid/>
          <w:color w:val="000000"/>
          <w:kern w:val="0"/>
          <w:sz w:val="32"/>
          <w:szCs w:val="32"/>
          <w:lang w:eastAsia="zh-CN"/>
        </w:rPr>
        <w:t>(一)加强党对教育事业的全面领导</w:t>
      </w:r>
    </w:p>
    <w:p w14:paraId="36B89FA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强化</w:t>
      </w:r>
      <w:r>
        <w:rPr>
          <w:rFonts w:hint="eastAsia" w:ascii="仿宋_GB2312" w:hAnsi="仿宋" w:eastAsia="仿宋_GB2312" w:cs="Times New Roman"/>
          <w:snapToGrid/>
          <w:color w:val="000000"/>
          <w:kern w:val="2"/>
          <w:sz w:val="32"/>
          <w:szCs w:val="32"/>
          <w:lang w:val="en-US" w:eastAsia="zh-CN"/>
        </w:rPr>
        <w:t>市县两级</w:t>
      </w:r>
      <w:r>
        <w:rPr>
          <w:rFonts w:hint="eastAsia" w:ascii="仿宋_GB2312" w:hAnsi="仿宋" w:eastAsia="仿宋_GB2312" w:cs="Times New Roman"/>
          <w:snapToGrid/>
          <w:color w:val="000000"/>
          <w:kern w:val="2"/>
          <w:sz w:val="32"/>
          <w:szCs w:val="32"/>
          <w:lang w:eastAsia="zh-CN"/>
        </w:rPr>
        <w:t>党委教育工作领导小组职能，完善党委统一领导、党政齐抓共管、部门各负其责的教育工作运行体制。全面加强各级各类学校党的建设，增强学校党组织的政治功能和组织功能，以高质量党建引领高质量发展。坚持和完善中小学校党组织领导的校长负责制。深入推进教育领域党风廉政建设和反腐败斗争，一体推进不敢腐、不能腐、不想腐。</w:t>
      </w:r>
    </w:p>
    <w:p w14:paraId="0F6A0C4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仿宋" w:eastAsia="楷体_GB2312" w:cs="宋体"/>
          <w:b/>
          <w:bCs/>
          <w:snapToGrid/>
          <w:color w:val="000000"/>
          <w:kern w:val="0"/>
          <w:sz w:val="32"/>
          <w:szCs w:val="32"/>
          <w:lang w:val="en-US" w:eastAsia="zh-CN" w:bidi="ar-SA"/>
        </w:rPr>
      </w:pPr>
      <w:r>
        <w:rPr>
          <w:rFonts w:hint="eastAsia" w:ascii="楷体_GB2312" w:hAnsi="仿宋" w:eastAsia="楷体_GB2312" w:cs="宋体"/>
          <w:b/>
          <w:bCs/>
          <w:snapToGrid/>
          <w:color w:val="000000"/>
          <w:kern w:val="0"/>
          <w:sz w:val="32"/>
          <w:szCs w:val="32"/>
          <w:lang w:val="en-US" w:eastAsia="zh-CN" w:bidi="ar-SA"/>
        </w:rPr>
        <w:t>(二)落实责任分工</w:t>
      </w:r>
    </w:p>
    <w:p w14:paraId="0BA462C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强化各级政府和学校实施规划的主体责任，根据规划确定的目标任务和工作要求，研究制定落实举措，明确时间表和路线图，加强对规划落实的跟踪检查、指导监督和动态调整。强化部门和地方之间工作协同，协调解决好规划实施中的各类教育发展问题。</w:t>
      </w:r>
    </w:p>
    <w:p w14:paraId="0A006D6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楷体_GB2312" w:hAnsi="仿宋" w:eastAsia="楷体_GB2312" w:cs="宋体"/>
          <w:b/>
          <w:bCs/>
          <w:snapToGrid/>
          <w:color w:val="000000"/>
          <w:kern w:val="0"/>
          <w:sz w:val="32"/>
          <w:szCs w:val="32"/>
          <w:lang w:val="en-US" w:eastAsia="zh-CN" w:bidi="ar-SA"/>
        </w:rPr>
      </w:pPr>
      <w:r>
        <w:rPr>
          <w:rFonts w:hint="eastAsia" w:ascii="楷体_GB2312" w:hAnsi="仿宋" w:eastAsia="楷体_GB2312" w:cs="宋体"/>
          <w:b/>
          <w:bCs/>
          <w:snapToGrid/>
          <w:color w:val="000000"/>
          <w:kern w:val="0"/>
          <w:sz w:val="32"/>
          <w:szCs w:val="32"/>
          <w:lang w:val="en-US" w:eastAsia="zh-CN" w:bidi="ar-SA"/>
        </w:rPr>
        <w:t>(三)营造良好氛围</w:t>
      </w:r>
    </w:p>
    <w:p w14:paraId="700AC9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 w:eastAsia="仿宋_GB2312" w:cs="Times New Roman"/>
          <w:snapToGrid/>
          <w:color w:val="000000"/>
          <w:kern w:val="2"/>
          <w:sz w:val="32"/>
          <w:szCs w:val="32"/>
          <w:lang w:eastAsia="zh-CN"/>
        </w:rPr>
      </w:pPr>
      <w:r>
        <w:rPr>
          <w:rFonts w:hint="eastAsia" w:ascii="仿宋_GB2312" w:hAnsi="仿宋" w:eastAsia="仿宋_GB2312" w:cs="Times New Roman"/>
          <w:snapToGrid/>
          <w:color w:val="000000"/>
          <w:kern w:val="2"/>
          <w:sz w:val="32"/>
          <w:szCs w:val="32"/>
          <w:lang w:eastAsia="zh-CN"/>
        </w:rPr>
        <w:t>加大对规划的</w:t>
      </w:r>
      <w:r>
        <w:rPr>
          <w:rFonts w:hint="eastAsia" w:ascii="仿宋_GB2312" w:hAnsi="仿宋" w:eastAsia="仿宋_GB2312" w:cs="Times New Roman"/>
          <w:snapToGrid/>
          <w:color w:val="000000"/>
          <w:kern w:val="2"/>
          <w:sz w:val="32"/>
          <w:szCs w:val="32"/>
          <w:lang w:val="en-US" w:eastAsia="zh-CN"/>
        </w:rPr>
        <w:t>解读</w:t>
      </w:r>
      <w:r>
        <w:rPr>
          <w:rFonts w:hint="eastAsia" w:ascii="仿宋_GB2312" w:hAnsi="仿宋" w:eastAsia="仿宋_GB2312" w:cs="Times New Roman"/>
          <w:snapToGrid/>
          <w:color w:val="000000"/>
          <w:kern w:val="2"/>
          <w:sz w:val="32"/>
          <w:szCs w:val="32"/>
          <w:lang w:eastAsia="zh-CN"/>
        </w:rPr>
        <w:t>宣传力度，及时总结和推广规划实施过程中的重大成果和典型经验，动员凝聚推动</w:t>
      </w:r>
      <w:bookmarkStart w:id="0" w:name="_GoBack"/>
      <w:bookmarkEnd w:id="0"/>
      <w:r>
        <w:rPr>
          <w:rFonts w:hint="eastAsia" w:ascii="仿宋_GB2312" w:hAnsi="仿宋" w:eastAsia="仿宋_GB2312" w:cs="Times New Roman"/>
          <w:snapToGrid/>
          <w:color w:val="000000"/>
          <w:kern w:val="2"/>
          <w:sz w:val="32"/>
          <w:szCs w:val="32"/>
          <w:lang w:val="en-US" w:eastAsia="zh-CN"/>
        </w:rPr>
        <w:t>九江</w:t>
      </w:r>
      <w:r>
        <w:rPr>
          <w:rFonts w:hint="eastAsia" w:ascii="仿宋_GB2312" w:hAnsi="仿宋" w:eastAsia="仿宋_GB2312" w:cs="Times New Roman"/>
          <w:snapToGrid/>
          <w:color w:val="000000"/>
          <w:kern w:val="2"/>
          <w:sz w:val="32"/>
          <w:szCs w:val="32"/>
          <w:lang w:eastAsia="zh-CN"/>
        </w:rPr>
        <w:t>教育事业高质量发展的强大力量，为实施规划营造良好的社会环境和舆论氛围。</w:t>
      </w:r>
    </w:p>
    <w:sectPr>
      <w:footerReference r:id="rId5" w:type="default"/>
      <w:pgSz w:w="11906" w:h="16838"/>
      <w:pgMar w:top="1701" w:right="1474" w:bottom="1587" w:left="1587" w:header="851" w:footer="1134" w:gutter="0"/>
      <w:paperSrc/>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7A481BC-9338-47EA-8CAA-32665F5D9740}"/>
  </w:font>
  <w:font w:name="黑体">
    <w:panose1 w:val="02010600030101010101"/>
    <w:charset w:val="86"/>
    <w:family w:val="auto"/>
    <w:pitch w:val="default"/>
    <w:sig w:usb0="800002BF" w:usb1="38CF7CFA" w:usb2="00000016" w:usb3="00000000" w:csb0="00040001" w:csb1="00000000"/>
    <w:embedRegular r:id="rId2" w:fontKey="{9349FB18-4698-4F54-B3DD-198282995B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0579AB2-BE42-4925-8AD3-F85C1962EEF7}"/>
  </w:font>
  <w:font w:name="方正小标宋简体">
    <w:panose1 w:val="03000509000000000000"/>
    <w:charset w:val="86"/>
    <w:family w:val="script"/>
    <w:pitch w:val="default"/>
    <w:sig w:usb0="00000001" w:usb1="080E0000" w:usb2="00000000" w:usb3="00000000" w:csb0="00040000" w:csb1="00000000"/>
    <w:embedRegular r:id="rId4" w:fontKey="{CC4156B2-72C3-4459-BB8F-8BD18BC57F39}"/>
  </w:font>
  <w:font w:name="华文中宋">
    <w:panose1 w:val="02010600040101010101"/>
    <w:charset w:val="86"/>
    <w:family w:val="auto"/>
    <w:pitch w:val="default"/>
    <w:sig w:usb0="00000287" w:usb1="080F0000" w:usb2="00000000" w:usb3="00000000" w:csb0="0004009F" w:csb1="DFD70000"/>
    <w:embedRegular r:id="rId5" w:fontKey="{5A1C9870-2942-44B6-8287-7B69904CF58F}"/>
  </w:font>
  <w:font w:name="华文楷体">
    <w:panose1 w:val="02010600040101010101"/>
    <w:charset w:val="86"/>
    <w:family w:val="auto"/>
    <w:pitch w:val="default"/>
    <w:sig w:usb0="A00002BF" w:usb1="78CF7CFB" w:usb2="00000016" w:usb3="00000000" w:csb0="6006009F" w:csb1="DFD70000"/>
    <w:embedRegular r:id="rId6" w:fontKey="{59CB1C43-1A44-461C-9771-7329C3422BAB}"/>
  </w:font>
  <w:font w:name="仿宋_GB2312">
    <w:panose1 w:val="02010609030101010101"/>
    <w:charset w:val="86"/>
    <w:family w:val="modern"/>
    <w:pitch w:val="default"/>
    <w:sig w:usb0="00000001" w:usb1="080E0000" w:usb2="00000000" w:usb3="00000000" w:csb0="00040000" w:csb1="00000000"/>
    <w:embedRegular r:id="rId7" w:fontKey="{81928119-1FE8-4B1E-9D2E-B9D62B2018AB}"/>
  </w:font>
  <w:font w:name="仿宋">
    <w:panose1 w:val="02010609060101010101"/>
    <w:charset w:val="86"/>
    <w:family w:val="auto"/>
    <w:pitch w:val="default"/>
    <w:sig w:usb0="800002BF" w:usb1="38CF7CFA" w:usb2="00000016" w:usb3="00000000" w:csb0="00040001" w:csb1="00000000"/>
    <w:embedRegular r:id="rId8" w:fontKey="{A884F800-200C-46C7-A12F-0852D6798A45}"/>
  </w:font>
  <w:font w:name="楷体_GB2312">
    <w:panose1 w:val="02010609030101010101"/>
    <w:charset w:val="86"/>
    <w:family w:val="modern"/>
    <w:pitch w:val="default"/>
    <w:sig w:usb0="00000001" w:usb1="080E0000" w:usb2="00000000" w:usb3="00000000" w:csb0="00040000" w:csb1="00000000"/>
    <w:embedRegular r:id="rId9" w:fontKey="{9351E7AD-0FEB-4C35-B4AE-AD89A8861F94}"/>
  </w:font>
  <w:font w:name="WPSEMBED2">
    <w:panose1 w:val="02010600040101010101"/>
    <w:charset w:val="86"/>
    <w:family w:val="auto"/>
    <w:pitch w:val="default"/>
    <w:sig w:usb0="A00002BF" w:usb1="78CF7CFB" w:usb2="00000016" w:usb3="00000000" w:csb0="6006009F" w:csb1="DFD7000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645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FE86C">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EFE86C">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81FEF3"/>
    <w:multiLevelType w:val="singleLevel"/>
    <w:tmpl w:val="7981FEF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73C38"/>
    <w:rsid w:val="06CF3A1E"/>
    <w:rsid w:val="09F50BDC"/>
    <w:rsid w:val="12AA36D7"/>
    <w:rsid w:val="1BD9502D"/>
    <w:rsid w:val="23333A4E"/>
    <w:rsid w:val="2A2F6251"/>
    <w:rsid w:val="2FCF07C9"/>
    <w:rsid w:val="438E7243"/>
    <w:rsid w:val="446118E2"/>
    <w:rsid w:val="4DD46F13"/>
    <w:rsid w:val="510C0E6D"/>
    <w:rsid w:val="52081BED"/>
    <w:rsid w:val="5B4F58A4"/>
    <w:rsid w:val="62312A9D"/>
    <w:rsid w:val="63A92B04"/>
    <w:rsid w:val="67401089"/>
    <w:rsid w:val="67C1041C"/>
    <w:rsid w:val="70EF043F"/>
    <w:rsid w:val="73C027AE"/>
    <w:rsid w:val="75963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 w:type="paragraph" w:customStyle="1" w:styleId="7">
    <w:name w:val="Table Text"/>
    <w:basedOn w:val="1"/>
    <w:semiHidden/>
    <w:qFormat/>
    <w:uiPriority w:val="0"/>
    <w:rPr>
      <w:rFonts w:ascii="宋体" w:hAnsi="宋体" w:eastAsia="宋体" w:cs="宋体"/>
      <w:sz w:val="54"/>
      <w:szCs w:val="54"/>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f674c440-be95-450e-8f83-9f7599d0a1ef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2AB10F35</paraID>
      <start>5</start>
      <end>6</end>
      <status>modified</status>
      <modifiedWord>—</modifiedWord>
      <trackRevisions>false</trackRevisions>
    </reviewItem>
    <reviewItem>
      <errorID>bb2927af-a60a-4960-832d-c6a12133e142</errorID>
      <errorWord>(</errorWord>
      <group>L1_Format</group>
      <groupName>格式问题</groupName>
      <ability>L2_HalfPunc_CN</ability>
      <abilityName>全半角问题</abilityName>
      <candidateList>
        <item>（</item>
      </candidateList>
      <explain>文本全半角错误。</explain>
      <paraID>75F6A23C</paraID>
      <start>49</start>
      <end>50</end>
      <status>modified</status>
      <modifiedWord>（</modifiedWord>
      <trackRevisions>false</trackRevisions>
    </reviewItem>
    <reviewItem>
      <errorID>70fa27a7-0a48-41a7-88f1-1cb9f589aac2</errorID>
      <errorWord>)</errorWord>
      <group>L1_Format</group>
      <groupName>格式问题</groupName>
      <ability>L2_HalfPunc_CN</ability>
      <abilityName>全半角问题</abilityName>
      <candidateList>
        <item>）</item>
      </candidateList>
      <explain>文本全半角错误。</explain>
      <paraID>75F6A23C</paraID>
      <start>60</start>
      <end>61</end>
      <status>modified</status>
      <modifiedWord>）</modifiedWord>
      <trackRevisions>false</trackRevisions>
    </reviewItem>
    <reviewItem>
      <errorID>367d436f-56af-4ddf-b594-1bf48321c1d8</errorID>
      <errorWord>验</errorWord>
      <group>L1_Word</group>
      <groupName>字词问题</groupName>
      <ability>L2_Typo</ability>
      <abilityName>字词错误</abilityName>
      <candidateList>
        <item>验在</item>
      </candidateList>
      <explain/>
      <paraID>1A7E1DC0</paraID>
      <start>124</start>
      <end>125</end>
      <status>ignored</status>
      <modifiedWord/>
      <trackRevisions>false</trackRevisions>
    </reviewItem>
    <reviewItem>
      <errorID>11532baf-3821-49fb-88e5-72c0b2e80ec0</errorID>
      <errorWord>加强</errorWord>
      <group>L1_Grammar</group>
      <groupName>语法问题</groupName>
      <ability>L2_Grammar</ability>
      <abilityName>语法错误</abilityName>
      <candidateList>
        <item>促进</item>
      </candidateList>
      <explain>“水平～加强”搭配不当，建议修改为“水平～促进”。</explain>
      <paraID>4791E013</paraID>
      <start>125</start>
      <end>127</end>
      <status>ignored</status>
      <modifiedWord/>
      <trackRevisions>false</trackRevisions>
    </reviewItem>
    <reviewItem>
      <errorID>db023466-90b2-4d18-9b28-68afdc608bbb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387E6130</paraID>
      <start>0</start>
      <end>3</end>
      <status>modified</status>
      <modifiedWord>（二）</modifiedWord>
      <trackRevisions>false</trackRevisions>
    </reviewItem>
    <reviewItem>
      <errorID>793369fb-9d13-4871-9b9b-19d696509459</errorID>
      <errorWord>教育数智化</errorWord>
      <group>L1_Political</group>
      <groupName>政治性问题</groupName>
      <ability>L2_Keyword</ability>
      <abilityName>固定表述</abilityName>
      <candidateList>
        <item>教育数字化</item>
      </candidateList>
      <explain>词汇“教育数字化”在特定场景下为固定表述形式，请确认此处的“教育数智化”是否存在不当。</explain>
      <paraID> 2F8E87A</paraID>
      <start>4</start>
      <end>9</end>
      <status>ignored</status>
      <modifiedWord/>
      <trackRevisions>false</trackRevisions>
    </reviewItem>
    <reviewItem>
      <errorID>c2c12194-030e-4455-ad80-56e78e59a74f</errorID>
      <errorWord>(</errorWord>
      <group>L1_Format</group>
      <groupName>格式问题</groupName>
      <ability>L2_HalfPunc_CN</ability>
      <abilityName>全半角问题</abilityName>
      <candidateList>
        <item>（</item>
      </candidateList>
      <explain>文本全半角错误。</explain>
      <paraID>5B90CECA</paraID>
      <start>0</start>
      <end>1</end>
      <status>modified</status>
      <modifiedWord>（</modifiedWord>
      <trackRevisions>false</trackRevisions>
    </reviewItem>
    <reviewItem>
      <errorID>4aa08d4d-e44f-430d-851d-a4df9dd3aa7f</errorID>
      <errorWord>)</errorWord>
      <group>L1_Format</group>
      <groupName>格式问题</groupName>
      <ability>L2_HalfPunc_CN</ability>
      <abilityName>全半角问题</abilityName>
      <candidateList>
        <item>）</item>
      </candidateList>
      <explain>文本全半角错误。</explain>
      <paraID>5B90CECA</paraID>
      <start>3</start>
      <end>4</end>
      <status>modified</status>
      <modifiedWord>）</modifiedWord>
      <trackRevisions>false</trackRevisions>
    </reviewItem>
    <reviewItem>
      <errorID>22e9b275-c661-49bc-a3de-68aeb81d287c</errorID>
      <errorWord>教育的“三大属性”</errorWord>
      <group>L1_Political</group>
      <groupName>政治性问题</groupName>
      <ability>L2_Keyword</ability>
      <abilityName>固定表述</abilityName>
      <candidateList>
        <item>教育“三大属性”</item>
      </candidateList>
      <explain>词汇“教育“三大属性””在特定场景下为固定表述形式，请确认此处的“教育的“三大属性””是否存在不当。</explain>
      <paraID> 9FB8D76</paraID>
      <start>80</start>
      <end>89</end>
      <status>ignored</status>
      <modifiedWord/>
      <trackRevisions>false</trackRevisions>
    </reviewItem>
    <reviewItem>
      <errorID>af214e69-fd3a-4d6a-8518-d05913ff8f2e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3A722635</paraID>
      <start>0</start>
      <end>3</end>
      <status>modified</status>
      <modifiedWord>（二）</modifiedWord>
      <trackRevisions>false</trackRevisions>
    </reviewItem>
    <reviewItem>
      <errorID>69883094-4766-4104-9abb-77bfb6d647bc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4B1150B6</paraID>
      <start>0</start>
      <end>3</end>
      <status>modified</status>
      <modifiedWord>（三）</modifiedWord>
      <trackRevisions>false</trackRevisions>
    </reviewItem>
    <reviewItem>
      <errorID>b05626c9-04aa-4a4c-9cf4-834a01f88fb2</errorID>
      <errorWord>(</errorWord>
      <group>L1_Format</group>
      <groupName>格式问题</groupName>
      <ability>L2_HalfPunc_CN</ability>
      <abilityName>全半角问题</abilityName>
      <candidateList>
        <item>（</item>
      </candidateList>
      <explain>文本全半角错误。</explain>
      <paraID>79979361</paraID>
      <start>8</start>
      <end>9</end>
      <status>modified</status>
      <modifiedWord>（</modifiedWord>
      <trackRevisions>false</trackRevisions>
    </reviewItem>
    <reviewItem>
      <errorID>cfe6459b-5e35-4031-9e55-09a8ee549105</errorID>
      <errorWord>)</errorWord>
      <group>L1_Format</group>
      <groupName>格式问题</groupName>
      <ability>L2_HalfPunc_CN</ability>
      <abilityName>全半角问题</abilityName>
      <candidateList>
        <item>）</item>
      </candidateList>
      <explain>文本全半角错误。</explain>
      <paraID>79979361</paraID>
      <start>10</start>
      <end>11</end>
      <status>modified</status>
      <modifiedWord>）</modifiedWord>
      <trackRevisions>false</trackRevisions>
    </reviewItem>
    <reviewItem>
      <errorID>e7e65c72-272c-45fc-bdbf-bd37c7e3d1bb</errorID>
      <errorWord>(</errorWord>
      <group>L1_Format</group>
      <groupName>格式问题</groupName>
      <ability>L2_HalfPunc_CN</ability>
      <abilityName>全半角问题</abilityName>
      <candidateList>
        <item>（</item>
      </candidateList>
      <explain>文本全半角错误。</explain>
      <paraID>5B039884</paraID>
      <start>17</start>
      <end>18</end>
      <status>modified</status>
      <modifiedWord>（</modifiedWord>
      <trackRevisions>false</trackRevisions>
    </reviewItem>
    <reviewItem>
      <errorID>81ac34bc-ef4c-4894-9c6b-4cd9760787cf</errorID>
      <errorWord>)</errorWord>
      <group>L1_Format</group>
      <groupName>格式问题</groupName>
      <ability>L2_HalfPunc_CN</ability>
      <abilityName>全半角问题</abilityName>
      <candidateList>
        <item>）</item>
      </candidateList>
      <explain>文本全半角错误。</explain>
      <paraID>5B039884</paraID>
      <start>19</start>
      <end>20</end>
      <status>modified</status>
      <modifiedWord>）</modifiedWord>
      <trackRevisions>false</trackRevisions>
    </reviewItem>
    <reviewItem>
      <errorID>93f985d7-0f83-480a-a238-9aa5f9a17843</errorID>
      <errorWord>(</errorWord>
      <group>L1_Format</group>
      <groupName>格式问题</groupName>
      <ability>L2_HalfPunc_CN</ability>
      <abilityName>全半角问题</abilityName>
      <candidateList>
        <item>（</item>
      </candidateList>
      <explain>文本全半角错误。</explain>
      <paraID>2820D189</paraID>
      <start>9</start>
      <end>10</end>
      <status>modified</status>
      <modifiedWord>（</modifiedWord>
      <trackRevisions>false</trackRevisions>
    </reviewItem>
    <reviewItem>
      <errorID>deba25f1-afc5-40ad-90ae-8bb37385e6ed</errorID>
      <errorWord>)</errorWord>
      <group>L1_Format</group>
      <groupName>格式问题</groupName>
      <ability>L2_HalfPunc_CN</ability>
      <abilityName>全半角问题</abilityName>
      <candidateList>
        <item>）</item>
      </candidateList>
      <explain>文本全半角错误。</explain>
      <paraID>2820D189</paraID>
      <start>11</start>
      <end>12</end>
      <status>modified</status>
      <modifiedWord>）</modifiedWord>
      <trackRevisions>false</trackRevisions>
    </reviewItem>
    <reviewItem>
      <errorID>a632d650-f416-41e1-a847-50ae19549a5d</errorID>
      <errorWord>(</errorWord>
      <group>L1_Format</group>
      <groupName>格式问题</groupName>
      <ability>L2_HalfPunc_CN</ability>
      <abilityName>全半角问题</abilityName>
      <candidateList>
        <item>（</item>
      </candidateList>
      <explain>文本全半角错误。</explain>
      <paraID>6E7520A8</paraID>
      <start>22</start>
      <end>23</end>
      <status>modified</status>
      <modifiedWord>（</modifiedWord>
      <trackRevisions>false</trackRevisions>
    </reviewItem>
    <reviewItem>
      <errorID>45e29c27-6f35-47d8-bbe7-c4a96acfb275</errorID>
      <errorWord>)</errorWord>
      <group>L1_Format</group>
      <groupName>格式问题</groupName>
      <ability>L2_HalfPunc_CN</ability>
      <abilityName>全半角问题</abilityName>
      <candidateList>
        <item>）</item>
      </candidateList>
      <explain>文本全半角错误。</explain>
      <paraID>6E7520A8</paraID>
      <start>24</start>
      <end>25</end>
      <status>modified</status>
      <modifiedWord>）</modifiedWord>
      <trackRevisions>false</trackRevisions>
    </reviewItem>
    <reviewItem>
      <errorID>41b399ff-9470-4dc7-8522-804df80d5c26</errorID>
      <errorWord>(</errorWord>
      <group>L1_Format</group>
      <groupName>格式问题</groupName>
      <ability>L2_HalfPunc_CN</ability>
      <abilityName>全半角问题</abilityName>
      <candidateList>
        <item>（</item>
      </candidateList>
      <explain>文本全半角错误。</explain>
      <paraID>591101F4</paraID>
      <start>24</start>
      <end>25</end>
      <status>modified</status>
      <modifiedWord>（</modifiedWord>
      <trackRevisions>false</trackRevisions>
    </reviewItem>
    <reviewItem>
      <errorID>0f84605e-f5ed-413c-ac21-1a10888b49ac</errorID>
      <errorWord>)</errorWord>
      <group>L1_Format</group>
      <groupName>格式问题</groupName>
      <ability>L2_HalfPunc_CN</ability>
      <abilityName>全半角问题</abilityName>
      <candidateList>
        <item>）</item>
      </candidateList>
      <explain>文本全半角错误。</explain>
      <paraID>591101F4</paraID>
      <start>26</start>
      <end>27</end>
      <status>modified</status>
      <modifiedWord>）</modifiedWord>
      <trackRevisions>false</trackRevisions>
    </reviewItem>
    <reviewItem>
      <errorID>bdd5e89e-3f85-40cc-a250-50e7a6009592</errorID>
      <errorWord>(</errorWord>
      <group>L1_Format</group>
      <groupName>格式问题</groupName>
      <ability>L2_HalfPunc_CN</ability>
      <abilityName>全半角问题</abilityName>
      <candidateList>
        <item>（</item>
      </candidateList>
      <explain>文本全半角错误。</explain>
      <paraID>1796D590</paraID>
      <start>8</start>
      <end>9</end>
      <status>modified</status>
      <modifiedWord>（</modifiedWord>
      <trackRevisions>false</trackRevisions>
    </reviewItem>
    <reviewItem>
      <errorID>0cd50bb0-f29a-47ab-a6b7-299cb8a15036</errorID>
      <errorWord>)</errorWord>
      <group>L1_Format</group>
      <groupName>格式问题</groupName>
      <ability>L2_HalfPunc_CN</ability>
      <abilityName>全半角问题</abilityName>
      <candidateList>
        <item>）</item>
      </candidateList>
      <explain>文本全半角错误。</explain>
      <paraID>1796D590</paraID>
      <start>10</start>
      <end>11</end>
      <status>modified</status>
      <modifiedWord>）</modifiedWord>
      <trackRevisions>false</trackRevisions>
    </reviewItem>
    <reviewItem>
      <errorID>a1460638-7b19-4f3d-9206-94e8c7e0ac5c</errorID>
      <errorWord>(</errorWord>
      <group>L1_Format</group>
      <groupName>格式问题</groupName>
      <ability>L2_HalfPunc_CN</ability>
      <abilityName>全半角问题</abilityName>
      <candidateList>
        <item>（</item>
      </candidateList>
      <explain>文本全半角错误。</explain>
      <paraID>511E1FC8</paraID>
      <start>21</start>
      <end>22</end>
      <status>modified</status>
      <modifiedWord>（</modifiedWord>
      <trackRevisions>false</trackRevisions>
    </reviewItem>
    <reviewItem>
      <errorID>c13452f1-24c0-4aaf-988d-3810141be99f</errorID>
      <errorWord>)</errorWord>
      <group>L1_Format</group>
      <groupName>格式问题</groupName>
      <ability>L2_HalfPunc_CN</ability>
      <abilityName>全半角问题</abilityName>
      <candidateList>
        <item>）</item>
      </candidateList>
      <explain>文本全半角错误。</explain>
      <paraID>511E1FC8</paraID>
      <start>23</start>
      <end>24</end>
      <status>modified</status>
      <modifiedWord>）</modifiedWord>
      <trackRevisions>false</trackRevisions>
    </reviewItem>
    <reviewItem>
      <errorID>61424093-f35c-4ce6-abfc-81e95ac2faea</errorID>
      <errorWord>(</errorWord>
      <group>L1_Format</group>
      <groupName>格式问题</groupName>
      <ability>L2_HalfPunc_CN</ability>
      <abilityName>全半角问题</abilityName>
      <candidateList>
        <item>（</item>
      </candidateList>
      <explain>文本全半角错误。</explain>
      <paraID>4EAB798B</paraID>
      <start>34</start>
      <end>35</end>
      <status>modified</status>
      <modifiedWord>（</modifiedWord>
      <trackRevisions>false</trackRevisions>
    </reviewItem>
    <reviewItem>
      <errorID>c8116f1c-9e23-4aef-a303-ff9049dd1fd5</errorID>
      <errorWord>)</errorWord>
      <group>L1_Format</group>
      <groupName>格式问题</groupName>
      <ability>L2_HalfPunc_CN</ability>
      <abilityName>全半角问题</abilityName>
      <candidateList>
        <item>）</item>
      </candidateList>
      <explain>文本全半角错误。</explain>
      <paraID>4EAB798B</paraID>
      <start>36</start>
      <end>37</end>
      <status>modified</status>
      <modifiedWord>）</modifiedWord>
      <trackRevisions>false</trackRevisions>
    </reviewItem>
    <reviewItem>
      <errorID>36189409-da7e-4236-80ca-ef83a296e297</errorID>
      <errorWord>(</errorWord>
      <group>L1_Format</group>
      <groupName>格式问题</groupName>
      <ability>L2_HalfPunc_CN</ability>
      <abilityName>全半角问题</abilityName>
      <candidateList>
        <item>（</item>
      </candidateList>
      <explain>文本全半角错误。</explain>
      <paraID>4CBC1BE8</paraID>
      <start>13</start>
      <end>14</end>
      <status>modified</status>
      <modifiedWord>（</modifiedWord>
      <trackRevisions>false</trackRevisions>
    </reviewItem>
    <reviewItem>
      <errorID>c3ae062b-6f23-474d-bf96-6fe6a5246713</errorID>
      <errorWord>)</errorWord>
      <group>L1_Format</group>
      <groupName>格式问题</groupName>
      <ability>L2_HalfPunc_CN</ability>
      <abilityName>全半角问题</abilityName>
      <candidateList>
        <item>）</item>
      </candidateList>
      <explain>文本全半角错误。</explain>
      <paraID>4CBC1BE8</paraID>
      <start>15</start>
      <end>16</end>
      <status>modified</status>
      <modifiedWord>）</modifiedWord>
      <trackRevisions>false</trackRevisions>
    </reviewItem>
    <reviewItem>
      <errorID>d47c5ef7-b04b-472e-af3f-0cc30fc9fe4e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6B57F683</paraID>
      <start>0</start>
      <end>3</end>
      <status>modified</status>
      <modifiedWord>（一）</modifiedWord>
      <trackRevisions>false</trackRevisions>
    </reviewItem>
    <reviewItem>
      <errorID>4405c4cf-67d5-4e11-b4a3-711b399bb9fa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3EA9876F</paraID>
      <start>46</start>
      <end>49</end>
      <status>ignored</status>
      <modifiedWord/>
      <trackRevisions>false</trackRevisions>
    </reviewItem>
    <reviewItem>
      <errorID>d113ef63-9787-451e-a915-3ef7afa9ada1</errorID>
      <errorWord>,</errorWord>
      <group>L1_Format</group>
      <groupName>格式问题</groupName>
      <ability>L2_HalfPunc_CN</ability>
      <abilityName>全半角问题</abilityName>
      <candidateList>
        <item>，</item>
      </candidateList>
      <explain>文本全半角错误。</explain>
      <paraID>53A2BEB7</paraID>
      <start>53</start>
      <end>54</end>
      <status>modified</status>
      <modifiedWord>，</modifiedWord>
      <trackRevisions>false</trackRevisions>
    </reviewItem>
    <reviewItem>
      <errorID>24e427be-30ce-460a-8931-1c18a31ff334</errorID>
      <errorWord>学校家庭社会协同育人体制</errorWord>
      <group>L1_Political</group>
      <groupName>政治性问题</groupName>
      <ability>L2_Keyword</ability>
      <abilityName>固定表述</abilityName>
      <candidateList>
        <item>学校家庭社会协同育人机制</item>
      </candidateList>
      <explain>词汇“学校家庭社会协同育人机制”在特定场景下为固定表述形式，请确认此处的“学校家庭社会协同育人体制”是否存在不当。</explain>
      <paraID>11E9E6E4</paraID>
      <start>2</start>
      <end>14</end>
      <status>ignored</status>
      <modifiedWord/>
      <trackRevisions>false</trackRevisions>
    </reviewItem>
    <reviewItem>
      <errorID>a7e42e3e-7c83-4ad7-a39e-4d6c0d67856c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263380EB</paraID>
      <start>0</start>
      <end>3</end>
      <status>modified</status>
      <modifiedWord>（二）</modifiedWord>
      <trackRevisions>false</trackRevisions>
    </reviewItem>
    <reviewItem>
      <errorID>fcdbd1e7-c533-43a7-bfd9-c504ae38d7c7</errorID>
      <errorWord>学前教育优质普惠</errorWord>
      <group>L1_Political</group>
      <groupName>政治性问题</groupName>
      <ability>L2_Keyword</ability>
      <abilityName>固定表述</abilityName>
      <candidateList>
        <item>学前教育普及普惠</item>
      </candidateList>
      <explain>词汇“学前教育普及普惠”在特定场景下为固定表述形式，请确认此处的“学前教育优质普惠”是否存在不当。</explain>
      <paraID>78AEE273</paraID>
      <start>4</start>
      <end>12</end>
      <status>ignored</status>
      <modifiedWord/>
      <trackRevisions>false</trackRevisions>
    </reviewItem>
    <reviewItem>
      <errorID>b4d52e8d-270a-4fcd-b39f-01e24f372371</errorID>
      <errorWord>学前教育优质普惠</errorWord>
      <group>L1_Political</group>
      <groupName>政治性问题</groupName>
      <ability>L2_Keyword</ability>
      <abilityName>固定表述</abilityName>
      <candidateList>
        <item>学前教育普及普惠</item>
      </candidateList>
      <explain>词汇“学前教育普及普惠”在特定场景下为固定表述形式，请确认此处的“学前教育优质普惠”是否存在不当。</explain>
      <paraID>2D8EB235</paraID>
      <start>6</start>
      <end>14</end>
      <status>unmodified</status>
      <modifiedWord/>
      <trackRevisions>false</trackRevisions>
    </reviewItem>
    <reviewItem>
      <errorID>382794ca-4363-446b-9806-c51b55e096b0</errorID>
      <errorWord>学期教育</errorWord>
      <group>L1_Knowledge</group>
      <groupName>知识性问题</groupName>
      <ability>L2_Term</ability>
      <abilityName>专业术语</abilityName>
      <candidateList>
        <item>学前教育</item>
      </candidateList>
      <explain/>
      <paraID>4A285F6D</paraID>
      <start>35</start>
      <end>39</end>
      <status>unmodified</status>
      <modifiedWord/>
      <trackRevisions>false</trackRevisions>
    </reviewItem>
    <reviewItem>
      <errorID>55629c0a-c8fb-4919-a0ac-8d6066dec13c</errorID>
      <errorWord>县(市、区)</errorWord>
      <group>L1_Political</group>
      <groupName>政治性问题</groupName>
      <ability>L2_Unpolitical</ability>
      <abilityName>政治敏感错误</abilityName>
      <candidateList>
        <item>县（市、区）</item>
      </candidateList>
      <explain/>
      <paraID>3F51D291</paraID>
      <start>9</start>
      <end>15</end>
      <status>unmodified</status>
      <modifiedWord/>
      <trackRevisions>false</trackRevisions>
    </reviewItem>
    <reviewItem>
      <errorID>a2c27f83-610a-4a74-8537-0cfcd98d92f9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790AF1D9</paraID>
      <start>0</start>
      <end>3</end>
      <status>unmodified</status>
      <modifiedWord/>
      <trackRevisions>false</trackRevisions>
    </reviewItem>
    <reviewItem>
      <errorID>e47bec52-2a08-4a29-a69b-9b3cbe2cf25a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71EBD7C0</paraID>
      <start>50</start>
      <end>51</end>
      <status>unmodified</status>
      <modifiedWord/>
      <trackRevisions>false</trackRevisions>
    </reviewItem>
    <reviewItem>
      <errorID>0aa12727-c96f-48a4-9224-22e28941ed96</errorID>
      <errorWord>2-3个</errorWord>
      <group>L1_Punc</group>
      <groupName>标点问题</groupName>
      <ability>L2_Punc_CN</ability>
      <abilityName>标点符号问题</abilityName>
      <candidateList>
        <item>2～3个</item>
      </candidateList>
      <explain/>
      <paraID>619B8732</paraID>
      <start>43</start>
      <end>47</end>
      <status>unmodified</status>
      <modifiedWord/>
      <trackRevisions>false</trackRevisions>
    </reviewItem>
    <reviewItem>
      <errorID>32a3304b-c2a0-4167-a501-c8637d8d7fa5</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7C7F3277</paraID>
      <start>0</start>
      <end>3</end>
      <status>unmodified</status>
      <modifiedWord/>
      <trackRevisions>false</trackRevisions>
    </reviewItem>
    <reviewItem>
      <errorID>260ea4af-2148-47fd-b9cd-a0ea34aa2364</errorID>
      <errorWord>2-3个</errorWord>
      <group>L1_Punc</group>
      <groupName>标点问题</groupName>
      <ability>L2_Punc_CN</ability>
      <abilityName>标点符号问题</abilityName>
      <candidateList>
        <item>2～3个</item>
      </candidateList>
      <explain/>
      <paraID> 5EDD58B</paraID>
      <start>44</start>
      <end>48</end>
      <status>unmodified</status>
      <modifiedWord/>
      <trackRevisions>false</trackRevisions>
    </reviewItem>
    <reviewItem>
      <errorID>596f4664-3b82-4262-8ae3-f4b150111daf</errorID>
      <errorWord>(</errorWord>
      <group>L1_Format</group>
      <groupName>格式问题</groupName>
      <ability>L2_HalfPunc_CN</ability>
      <abilityName>全半角问题</abilityName>
      <candidateList>
        <item>（</item>
      </candidateList>
      <explain>文本全半角错误。</explain>
      <paraID>457296A2</paraID>
      <start>83</start>
      <end>84</end>
      <status>unmodified</status>
      <modifiedWord/>
      <trackRevisions>false</trackRevisions>
    </reviewItem>
    <reviewItem>
      <errorID>46ca9a16-60e5-4de0-b9de-17b04e933d54</errorID>
      <errorWord>)</errorWord>
      <group>L1_Format</group>
      <groupName>格式问题</groupName>
      <ability>L2_HalfPunc_CN</ability>
      <abilityName>全半角问题</abilityName>
      <candidateList>
        <item>）</item>
      </candidateList>
      <explain>文本全半角错误。</explain>
      <paraID>457296A2</paraID>
      <start>87</start>
      <end>88</end>
      <status>unmodified</status>
      <modifiedWord/>
      <trackRevisions>false</trackRevisions>
    </reviewItem>
    <reviewItem>
      <errorID>a55ba648-5bfb-442f-9897-5bd1972b2f21</errorID>
      <errorWord>双高”计划</errorWord>
      <group>L1_Political</group>
      <groupName>政治性问题</groupName>
      <ability>L2_Keyword</ability>
      <abilityName>固定表述</abilityName>
      <candidateList>
        <item>“双高计划”</item>
      </candidateList>
      <explain>注意检查当前固定表述标点是否使用规范。</explain>
      <paraID>7A63247A</paraID>
      <start>133</start>
      <end>138</end>
      <status>unmodified</status>
      <modifiedWord/>
      <trackRevisions>false</trackRevisions>
    </reviewItem>
    <reviewItem>
      <errorID>edc2b484-9d9c-479a-bd8f-1f98ea888de3</errorID>
      <errorWord>2-3个</errorWord>
      <group>L1_Punc</group>
      <groupName>标点问题</groupName>
      <ability>L2_Punc_CN</ability>
      <abilityName>标点符号问题</abilityName>
      <candidateList>
        <item>2～3个</item>
      </candidateList>
      <explain/>
      <paraID>7AAF8779</paraID>
      <start>5</start>
      <end>9</end>
      <status>unmodified</status>
      <modifiedWord/>
      <trackRevisions>false</trackRevisions>
    </reviewItem>
    <reviewItem>
      <errorID>e12d36ed-5ef8-4c13-ad19-0cdb700cd43a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5C11BCE9</paraID>
      <start>0</start>
      <end>3</end>
      <status>unmodified</status>
      <modifiedWord/>
      <trackRevisions>false</trackRevisions>
    </reviewItem>
    <reviewItem>
      <errorID>c33cbc27-82e9-4d77-9431-d290c8d0bfff</errorID>
      <errorWord>,</errorWord>
      <group>L1_Format</group>
      <groupName>格式问题</groupName>
      <ability>L2_HalfPunc_CN</ability>
      <abilityName>全半角问题</abilityName>
      <candidateList>
        <item>，</item>
      </candidateList>
      <explain>文本全半角错误。</explain>
      <paraID>1C1D644B</paraID>
      <start>25</start>
      <end>26</end>
      <status>unmodified</status>
      <modifiedWord/>
      <trackRevisions>false</trackRevisions>
    </reviewItem>
    <reviewItem>
      <errorID>450dfecf-5ec3-41a0-b582-e29e7137a7a7</errorID>
      <errorWord>(</errorWord>
      <group>L1_Format</group>
      <groupName>格式问题</groupName>
      <ability>L2_HalfPunc_CN</ability>
      <abilityName>全半角问题</abilityName>
      <candidateList>
        <item>（</item>
      </candidateList>
      <explain>文本全半角错误。</explain>
      <paraID>1C1D644B</paraID>
      <start>37</start>
      <end>38</end>
      <status>unmodified</status>
      <modifiedWord/>
      <trackRevisions>false</trackRevisions>
    </reviewItem>
    <reviewItem>
      <errorID>080b3730-3e98-4ddb-b584-f920d84754c5</errorID>
      <errorWord>)</errorWord>
      <group>L1_Format</group>
      <groupName>格式问题</groupName>
      <ability>L2_HalfPunc_CN</ability>
      <abilityName>全半角问题</abilityName>
      <candidateList>
        <item>）</item>
      </candidateList>
      <explain>文本全半角错误。</explain>
      <paraID>1C1D644B</paraID>
      <start>39</start>
      <end>40</end>
      <status>unmodified</status>
      <modifiedWord/>
      <trackRevisions>false</trackRevisions>
    </reviewItem>
    <reviewItem>
      <errorID>de84c9ac-99f4-4208-a43e-b5065f77c527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2F110046</paraID>
      <start>0</start>
      <end>3</end>
      <status>unmodified</status>
      <modifiedWord/>
      <trackRevisions>false</trackRevisions>
    </reviewItem>
    <reviewItem>
      <errorID>b205c6ee-f193-448b-b356-d46b460f496a</errorID>
      <errorWord>教育数智化</errorWord>
      <group>L1_Political</group>
      <groupName>政治性问题</groupName>
      <ability>L2_Keyword</ability>
      <abilityName>固定表述</abilityName>
      <candidateList>
        <item>教育数字化</item>
      </candidateList>
      <explain>词汇“教育数字化”在特定场景下为固定表述形式，请确认此处的“教育数智化”是否存在不当。</explain>
      <paraID>4F182E15</paraID>
      <start>2</start>
      <end>7</end>
      <status>unmodified</status>
      <modifiedWord/>
      <trackRevisions>false</trackRevisions>
    </reviewItem>
    <reviewItem>
      <errorID>e881f934-2361-4625-8b4d-225f988ed28e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71A0C967</paraID>
      <start>34</start>
      <end>35</end>
      <status>unmodified</status>
      <modifiedWord/>
      <trackRevisions>false</trackRevisions>
    </reviewItem>
    <reviewItem>
      <errorID>bb6c0cd8-1fc5-4647-99e9-0c4dd1d90713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71A0C967</paraID>
      <start>52</start>
      <end>53</end>
      <status>unmodified</status>
      <modifiedWord/>
      <trackRevisions>false</trackRevisions>
    </reviewItem>
    <reviewItem>
      <errorID>a6230242-f6a6-4643-9de6-3db6f9c89918</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1557D14D</paraID>
      <start>0</start>
      <end>3</end>
      <status>unmodified</status>
      <modifiedWord/>
      <trackRevisions>false</trackRevisions>
    </reviewItem>
    <reviewItem>
      <errorID>58f9d885-2206-493b-bbed-4a59b70a60ff</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F8D9392</paraID>
      <start>0</start>
      <end>3</end>
      <status>unmodified</status>
      <modifiedWord/>
      <trackRevisions>false</trackRevisions>
    </reviewItem>
    <reviewItem>
      <errorID>60bbd369-b9ed-4930-83cb-820ed7fd557c</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3BA4A1C4</paraID>
      <start>0</start>
      <end>3</end>
      <status>unmodified</status>
      <modifiedWord/>
      <trackRevisions>false</trackRevisions>
    </reviewItem>
    <reviewItem>
      <errorID>c7b0e1c0-ea86-4d39-8e77-fff75b357819</errorID>
      <errorWord>校际间</errorWord>
      <group>L1_Word</group>
      <groupName>字词问题</groupName>
      <ability>L2_Typo</ability>
      <abilityName>字词错误</abilityName>
      <candidateList>
        <item>校际</item>
      </candidateList>
      <explain/>
      <paraID>65FCCC82</paraID>
      <start>49</start>
      <end>52</end>
      <status>unmodified</status>
      <modifiedWord/>
      <trackRevisions>false</trackRevisions>
    </reviewItem>
    <reviewItem>
      <errorID>41c348fa-919a-42fc-b22d-3738d6f653ad</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2BD7817B</paraID>
      <start>0</start>
      <end>3</end>
      <status>unmodified</status>
      <modifiedWord/>
      <trackRevisions>false</trackRevisions>
    </reviewItem>
    <reviewItem>
      <errorID>fa46e9cf-95d0-42cc-954d-6fdd356a2751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59B6917E</paraID>
      <start>0</start>
      <end>3</end>
      <status>unmodified</status>
      <modifiedWord/>
      <trackRevisions>false</trackRevisions>
    </reviewItem>
    <reviewItem>
      <errorID>115da88e-c519-4ff0-962e-87ad9e2ef23f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F6A0C41</paraID>
      <start>0</start>
      <end>3</end>
      <status>unmodified</status>
      <modifiedWord/>
      <trackRevisions>false</trackRevisions>
    </reviewItem>
    <reviewItem>
      <errorID>051eb76e-ea83-452c-ba5a-93af2616fd93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A006D65</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c3c2b2-3e6a-4fd3-a670-43d746280938}">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3250</Words>
  <Characters>3353</Characters>
  <Lines>0</Lines>
  <Paragraphs>0</Paragraphs>
  <TotalTime>7</TotalTime>
  <ScaleCrop>false</ScaleCrop>
  <LinksUpToDate>false</LinksUpToDate>
  <CharactersWithSpaces>3357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2026-09-11T01:50:00Z</dcterms:created>
  <cp:lastModifiedBy>闵婕</cp:lastModifiedBy>
  <dcterms:modified xsi:type="dcterms:W3CDTF">2026-09-11T07:48:13Z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eyJoZGlkIjoiZDAwOWE0YmRjMTM2MmMzNzEzYTA3NTkwN2I2MGZiNWIiLCJ1c2VySWQiOiIxNzM2NzUzMzE0In0=</vt:lpwstr>
  </property>
  <property fmtid="{D5CDD505-2E9C-101B-9397-08002B2CF9AE}" pid="4" name="ICV">
    <vt:lpwstr>4E0EDACE77684723B1242E57E32E9B88_12</vt:lpwstr>
  </property>
</Properties>
</file>