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1"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41"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before="309" w:line="183" w:lineRule="auto"/>
        <w:ind w:firstLine="243" w:firstLineChars="0"/>
        <w:jc w:val="center"/>
        <w:textAlignment w:val="baseline"/>
        <w:outlineLvl w:val="9"/>
        <w:rPr>
          <w:rFonts w:ascii="微软雅黑" w:hAnsi="微软雅黑" w:eastAsia="微软雅黑" w:cs="微软雅黑"/>
          <w:snapToGrid w:val="0"/>
          <w:color w:val="000000"/>
          <w:kern w:val="0"/>
          <w:sz w:val="72"/>
          <w:szCs w:val="72"/>
        </w:rPr>
      </w:pPr>
      <w:bookmarkStart w:id="0" w:name="_Toc19472"/>
      <w:bookmarkStart w:id="1" w:name="_Toc22040"/>
      <w:bookmarkStart w:id="2" w:name="_Toc4889"/>
      <w:bookmarkStart w:id="3" w:name="_Toc15970"/>
      <w:bookmarkStart w:id="4" w:name="_Toc22627"/>
      <w:bookmarkStart w:id="5" w:name="_Toc26104"/>
      <w:r>
        <w:rPr>
          <w:rFonts w:hint="eastAsia" w:ascii="方正小标宋简体" w:hAnsi="方正小标宋简体" w:eastAsia="方正小标宋简体" w:cs="方正小标宋简体"/>
          <w:snapToGrid w:val="0"/>
          <w:color w:val="000000"/>
          <w:spacing w:val="-2"/>
          <w:kern w:val="0"/>
          <w:sz w:val="72"/>
          <w:szCs w:val="72"/>
        </w:rPr>
        <w:t>九江市中等职业教育质</w:t>
      </w:r>
      <w:r>
        <w:rPr>
          <w:rFonts w:hint="eastAsia" w:ascii="方正小标宋简体" w:hAnsi="方正小标宋简体" w:eastAsia="方正小标宋简体" w:cs="方正小标宋简体"/>
          <w:snapToGrid w:val="0"/>
          <w:color w:val="000000"/>
          <w:spacing w:val="-1"/>
          <w:kern w:val="0"/>
          <w:sz w:val="72"/>
          <w:szCs w:val="72"/>
        </w:rPr>
        <w:t>量</w:t>
      </w:r>
      <w:bookmarkEnd w:id="0"/>
      <w:bookmarkEnd w:id="1"/>
      <w:bookmarkEnd w:id="2"/>
      <w:bookmarkEnd w:id="3"/>
      <w:bookmarkEnd w:id="4"/>
      <w:bookmarkEnd w:id="5"/>
    </w:p>
    <w:p>
      <w:pPr>
        <w:keepNext w:val="0"/>
        <w:keepLines w:val="0"/>
        <w:pageBreakBefore w:val="0"/>
        <w:widowControl/>
        <w:kinsoku/>
        <w:wordWrap/>
        <w:overflowPunct/>
        <w:topLinePunct/>
        <w:autoSpaceDE w:val="0"/>
        <w:autoSpaceDN w:val="0"/>
        <w:bidi w:val="0"/>
        <w:adjustRightInd w:val="0"/>
        <w:snapToGrid w:val="0"/>
        <w:spacing w:line="182" w:lineRule="auto"/>
        <w:ind w:firstLine="0" w:firstLineChars="0"/>
        <w:jc w:val="center"/>
        <w:textAlignment w:val="baseline"/>
        <w:outlineLvl w:val="9"/>
        <w:rPr>
          <w:rFonts w:ascii="方正小标宋简体" w:hAnsi="方正小标宋简体" w:eastAsia="方正小标宋简体" w:cs="方正小标宋简体"/>
          <w:snapToGrid w:val="0"/>
          <w:color w:val="000000"/>
          <w:spacing w:val="-2"/>
          <w:kern w:val="0"/>
          <w:sz w:val="72"/>
          <w:szCs w:val="72"/>
        </w:rPr>
      </w:pPr>
      <w:r>
        <w:rPr>
          <w:rFonts w:hint="eastAsia" w:ascii="方正小标宋简体" w:hAnsi="方正小标宋简体" w:eastAsia="方正小标宋简体" w:cs="方正小标宋简体"/>
          <w:snapToGrid w:val="0"/>
          <w:color w:val="000000"/>
          <w:spacing w:val="-2"/>
          <w:kern w:val="0"/>
          <w:sz w:val="72"/>
          <w:szCs w:val="72"/>
        </w:rPr>
        <w:t>年度报告</w:t>
      </w:r>
    </w:p>
    <w:p>
      <w:pPr>
        <w:keepNext w:val="0"/>
        <w:keepLines w:val="0"/>
        <w:pageBreakBefore w:val="0"/>
        <w:widowControl/>
        <w:kinsoku/>
        <w:wordWrap/>
        <w:overflowPunct/>
        <w:topLinePunct/>
        <w:autoSpaceDE w:val="0"/>
        <w:autoSpaceDN w:val="0"/>
        <w:bidi w:val="0"/>
        <w:adjustRightInd w:val="0"/>
        <w:snapToGrid w:val="0"/>
        <w:spacing w:beforeLines="100" w:line="206" w:lineRule="auto"/>
        <w:ind w:firstLine="0" w:firstLineChars="0"/>
        <w:jc w:val="center"/>
        <w:textAlignment w:val="baseline"/>
        <w:outlineLvl w:val="9"/>
        <w:rPr>
          <w:rFonts w:ascii="微软雅黑" w:hAnsi="微软雅黑" w:eastAsia="微软雅黑" w:cs="微软雅黑"/>
          <w:snapToGrid w:val="0"/>
          <w:color w:val="000000"/>
          <w:kern w:val="0"/>
          <w:sz w:val="52"/>
          <w:szCs w:val="52"/>
        </w:rPr>
      </w:pPr>
      <w:r>
        <w:rPr>
          <w:rFonts w:hint="eastAsia" w:ascii="方正小标宋简体" w:hAnsi="方正小标宋简体" w:eastAsia="方正小标宋简体" w:cs="方正小标宋简体"/>
          <w:snapToGrid w:val="0"/>
          <w:color w:val="000000"/>
          <w:spacing w:val="10"/>
          <w:kern w:val="0"/>
          <w:sz w:val="52"/>
          <w:szCs w:val="52"/>
        </w:rPr>
        <w:t>（</w:t>
      </w:r>
      <w:r>
        <w:rPr>
          <w:rFonts w:ascii="Times New Roman" w:hAnsi="Times New Roman" w:eastAsia="Times New Roman" w:cs="Times New Roman"/>
          <w:snapToGrid w:val="0"/>
          <w:color w:val="000000"/>
          <w:spacing w:val="5"/>
          <w:kern w:val="0"/>
          <w:sz w:val="52"/>
          <w:szCs w:val="52"/>
        </w:rPr>
        <w:t>202</w:t>
      </w:r>
      <w:r>
        <w:rPr>
          <w:rFonts w:hint="eastAsia" w:cs="Times New Roman"/>
          <w:snapToGrid w:val="0"/>
          <w:color w:val="000000"/>
          <w:spacing w:val="5"/>
          <w:kern w:val="0"/>
          <w:sz w:val="52"/>
          <w:szCs w:val="52"/>
          <w:lang w:val="en-US" w:eastAsia="zh-CN"/>
        </w:rPr>
        <w:t>3</w:t>
      </w:r>
      <w:r>
        <w:rPr>
          <w:rFonts w:ascii="Times New Roman" w:hAnsi="Times New Roman" w:eastAsia="Times New Roman" w:cs="Times New Roman"/>
          <w:snapToGrid w:val="0"/>
          <w:color w:val="000000"/>
          <w:spacing w:val="4"/>
          <w:kern w:val="0"/>
          <w:sz w:val="52"/>
          <w:szCs w:val="52"/>
        </w:rPr>
        <w:t xml:space="preserve"> </w:t>
      </w:r>
      <w:r>
        <w:rPr>
          <w:rFonts w:hint="eastAsia" w:ascii="方正小标宋简体" w:hAnsi="方正小标宋简体" w:eastAsia="方正小标宋简体" w:cs="方正小标宋简体"/>
          <w:snapToGrid w:val="0"/>
          <w:color w:val="000000"/>
          <w:spacing w:val="10"/>
          <w:kern w:val="0"/>
          <w:sz w:val="52"/>
          <w:szCs w:val="52"/>
        </w:rPr>
        <w:t>年</w:t>
      </w:r>
      <w:r>
        <w:rPr>
          <w:rFonts w:hint="eastAsia" w:ascii="方正小标宋简体" w:hAnsi="方正小标宋简体" w:eastAsia="方正小标宋简体" w:cs="方正小标宋简体"/>
          <w:snapToGrid w:val="0"/>
          <w:color w:val="000000"/>
          <w:spacing w:val="13"/>
          <w:kern w:val="0"/>
          <w:sz w:val="52"/>
          <w:szCs w:val="52"/>
        </w:rPr>
        <w:t>）</w:t>
      </w: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line="254" w:lineRule="auto"/>
        <w:ind w:firstLine="0" w:firstLineChars="0"/>
        <w:jc w:val="left"/>
        <w:textAlignment w:val="baseline"/>
        <w:outlineLvl w:val="9"/>
        <w:rPr>
          <w:rFonts w:ascii="Arial" w:hAnsi="Arial" w:eastAsia="Arial" w:cs="Arial"/>
          <w:snapToGrid w:val="0"/>
          <w:color w:val="000000"/>
          <w:kern w:val="0"/>
          <w:sz w:val="21"/>
          <w:szCs w:val="21"/>
        </w:rPr>
      </w:pPr>
    </w:p>
    <w:p>
      <w:pPr>
        <w:keepNext w:val="0"/>
        <w:keepLines w:val="0"/>
        <w:pageBreakBefore w:val="0"/>
        <w:widowControl/>
        <w:kinsoku/>
        <w:wordWrap/>
        <w:overflowPunct/>
        <w:topLinePunct/>
        <w:autoSpaceDE w:val="0"/>
        <w:autoSpaceDN w:val="0"/>
        <w:bidi w:val="0"/>
        <w:adjustRightInd w:val="0"/>
        <w:snapToGrid w:val="0"/>
        <w:spacing w:before="140" w:line="624" w:lineRule="exact"/>
        <w:ind w:firstLine="2897" w:firstLineChars="0"/>
        <w:jc w:val="left"/>
        <w:textAlignment w:val="baseline"/>
        <w:outlineLvl w:val="9"/>
        <w:rPr>
          <w:rFonts w:ascii="仿宋" w:hAnsi="仿宋" w:eastAsia="仿宋" w:cs="仿宋"/>
          <w:snapToGrid w:val="0"/>
          <w:color w:val="000000"/>
          <w:kern w:val="0"/>
          <w:sz w:val="43"/>
          <w:szCs w:val="43"/>
        </w:rPr>
      </w:pPr>
      <w:bookmarkStart w:id="6" w:name="_Toc5311"/>
      <w:bookmarkStart w:id="7" w:name="_Toc17483"/>
      <w:bookmarkStart w:id="8" w:name="_Toc19705"/>
      <w:bookmarkStart w:id="9" w:name="_Toc5293"/>
      <w:bookmarkStart w:id="10" w:name="_Toc14329"/>
      <w:bookmarkStart w:id="11" w:name="_Toc5325"/>
      <w:r>
        <w:rPr>
          <w:rFonts w:hint="eastAsia" w:ascii="仿宋" w:hAnsi="仿宋" w:eastAsia="仿宋" w:cs="仿宋"/>
          <w:snapToGrid w:val="0"/>
          <w:color w:val="000000"/>
          <w:spacing w:val="4"/>
          <w:kern w:val="0"/>
          <w:position w:val="13"/>
          <w:sz w:val="43"/>
          <w:szCs w:val="43"/>
        </w:rPr>
        <w:t>九江</w:t>
      </w:r>
      <w:r>
        <w:rPr>
          <w:rFonts w:ascii="仿宋" w:hAnsi="仿宋" w:eastAsia="仿宋" w:cs="仿宋"/>
          <w:snapToGrid w:val="0"/>
          <w:color w:val="000000"/>
          <w:spacing w:val="4"/>
          <w:kern w:val="0"/>
          <w:position w:val="13"/>
          <w:sz w:val="43"/>
          <w:szCs w:val="43"/>
        </w:rPr>
        <w:t>市教</w:t>
      </w:r>
      <w:r>
        <w:rPr>
          <w:rFonts w:ascii="仿宋" w:hAnsi="仿宋" w:eastAsia="仿宋" w:cs="仿宋"/>
          <w:snapToGrid w:val="0"/>
          <w:color w:val="000000"/>
          <w:spacing w:val="3"/>
          <w:kern w:val="0"/>
          <w:position w:val="13"/>
          <w:sz w:val="43"/>
          <w:szCs w:val="43"/>
        </w:rPr>
        <w:t>育局</w:t>
      </w:r>
      <w:bookmarkEnd w:id="6"/>
      <w:bookmarkEnd w:id="7"/>
      <w:bookmarkEnd w:id="8"/>
      <w:bookmarkEnd w:id="9"/>
      <w:bookmarkEnd w:id="10"/>
      <w:bookmarkEnd w:id="11"/>
    </w:p>
    <w:p>
      <w:pPr>
        <w:keepNext w:val="0"/>
        <w:keepLines w:val="0"/>
        <w:pageBreakBefore w:val="0"/>
        <w:widowControl/>
        <w:kinsoku/>
        <w:wordWrap/>
        <w:overflowPunct/>
        <w:autoSpaceDE/>
        <w:autoSpaceDN/>
        <w:bidi w:val="0"/>
        <w:adjustRightInd/>
        <w:snapToGrid/>
        <w:spacing w:line="240" w:lineRule="auto"/>
        <w:ind w:firstLine="0" w:firstLineChars="0"/>
        <w:jc w:val="center"/>
        <w:textAlignment w:val="auto"/>
        <w:outlineLvl w:val="9"/>
        <w:rPr>
          <w:rFonts w:ascii="仿宋" w:hAnsi="仿宋" w:eastAsia="仿宋" w:cs="仿宋"/>
          <w:snapToGrid w:val="0"/>
          <w:color w:val="000000"/>
          <w:kern w:val="0"/>
          <w:sz w:val="43"/>
          <w:szCs w:val="43"/>
        </w:rPr>
      </w:pPr>
      <w:bookmarkStart w:id="12" w:name="_Toc28454"/>
      <w:bookmarkStart w:id="13" w:name="_Toc17893"/>
      <w:bookmarkStart w:id="14" w:name="_Toc7502"/>
      <w:bookmarkStart w:id="15" w:name="_Toc3153"/>
      <w:bookmarkStart w:id="16" w:name="_Toc21521"/>
      <w:r>
        <w:rPr>
          <w:rFonts w:ascii="Times New Roman" w:hAnsi="Times New Roman" w:eastAsia="Times New Roman" w:cs="Times New Roman"/>
          <w:snapToGrid w:val="0"/>
          <w:color w:val="000000"/>
          <w:spacing w:val="-1"/>
          <w:kern w:val="0"/>
          <w:sz w:val="43"/>
          <w:szCs w:val="43"/>
        </w:rPr>
        <w:t>202</w:t>
      </w:r>
      <w:r>
        <w:rPr>
          <w:rFonts w:hint="eastAsia" w:cs="Times New Roman"/>
          <w:snapToGrid w:val="0"/>
          <w:color w:val="000000"/>
          <w:spacing w:val="-1"/>
          <w:kern w:val="0"/>
          <w:sz w:val="43"/>
          <w:szCs w:val="43"/>
          <w:lang w:val="en-US" w:eastAsia="zh-CN"/>
        </w:rPr>
        <w:t>3</w:t>
      </w:r>
      <w:r>
        <w:rPr>
          <w:rFonts w:ascii="Times New Roman" w:hAnsi="Times New Roman" w:eastAsia="Times New Roman" w:cs="Times New Roman"/>
          <w:snapToGrid w:val="0"/>
          <w:color w:val="000000"/>
          <w:spacing w:val="-6"/>
          <w:kern w:val="0"/>
          <w:sz w:val="43"/>
          <w:szCs w:val="43"/>
        </w:rPr>
        <w:t xml:space="preserve"> </w:t>
      </w:r>
      <w:r>
        <w:rPr>
          <w:rFonts w:ascii="仿宋" w:hAnsi="仿宋" w:eastAsia="仿宋" w:cs="仿宋"/>
          <w:snapToGrid w:val="0"/>
          <w:color w:val="000000"/>
          <w:spacing w:val="-1"/>
          <w:kern w:val="0"/>
          <w:sz w:val="43"/>
          <w:szCs w:val="43"/>
        </w:rPr>
        <w:t>年</w:t>
      </w:r>
      <w:r>
        <w:rPr>
          <w:rFonts w:ascii="仿宋" w:hAnsi="仿宋" w:eastAsia="仿宋" w:cs="仿宋"/>
          <w:snapToGrid w:val="0"/>
          <w:color w:val="000000"/>
          <w:spacing w:val="-10"/>
          <w:kern w:val="0"/>
          <w:sz w:val="43"/>
          <w:szCs w:val="43"/>
        </w:rPr>
        <w:t xml:space="preserve"> </w:t>
      </w:r>
      <w:r>
        <w:rPr>
          <w:rFonts w:ascii="Times New Roman" w:hAnsi="Times New Roman" w:eastAsia="Times New Roman" w:cs="Times New Roman"/>
          <w:snapToGrid w:val="0"/>
          <w:color w:val="000000"/>
          <w:spacing w:val="-1"/>
          <w:kern w:val="0"/>
          <w:sz w:val="43"/>
          <w:szCs w:val="43"/>
        </w:rPr>
        <w:t>12</w:t>
      </w:r>
      <w:r>
        <w:rPr>
          <w:rFonts w:ascii="Times New Roman" w:hAnsi="Times New Roman" w:eastAsia="Times New Roman" w:cs="Times New Roman"/>
          <w:snapToGrid w:val="0"/>
          <w:color w:val="000000"/>
          <w:spacing w:val="-6"/>
          <w:kern w:val="0"/>
          <w:sz w:val="43"/>
          <w:szCs w:val="43"/>
        </w:rPr>
        <w:t xml:space="preserve"> </w:t>
      </w:r>
      <w:r>
        <w:rPr>
          <w:rFonts w:ascii="仿宋" w:hAnsi="仿宋" w:eastAsia="仿宋" w:cs="仿宋"/>
          <w:snapToGrid w:val="0"/>
          <w:color w:val="000000"/>
          <w:kern w:val="0"/>
          <w:sz w:val="43"/>
          <w:szCs w:val="43"/>
        </w:rPr>
        <w:t>月</w:t>
      </w:r>
      <w:bookmarkEnd w:id="12"/>
      <w:bookmarkEnd w:id="13"/>
      <w:bookmarkEnd w:id="14"/>
      <w:bookmarkEnd w:id="15"/>
      <w:bookmarkEnd w:id="16"/>
    </w:p>
    <w:p>
      <w:pPr>
        <w:keepNext w:val="0"/>
        <w:keepLines w:val="0"/>
        <w:pageBreakBefore w:val="0"/>
        <w:kinsoku/>
        <w:wordWrap/>
        <w:overflowPunct/>
        <w:bidi w:val="0"/>
        <w:spacing w:before="0" w:beforeLines="0" w:after="0" w:afterLines="0" w:line="240" w:lineRule="auto"/>
        <w:ind w:left="0" w:leftChars="0" w:right="0" w:rightChars="0" w:firstLine="0" w:firstLineChars="0"/>
        <w:jc w:val="center"/>
        <w:outlineLvl w:val="9"/>
        <w:rPr>
          <w:rFonts w:ascii="宋体" w:hAnsi="宋体" w:eastAsia="宋体" w:cs="Times New Roman"/>
          <w:kern w:val="2"/>
          <w:sz w:val="21"/>
          <w:szCs w:val="24"/>
          <w:lang w:val="en-US" w:eastAsia="zh-CN" w:bidi="ar-SA"/>
        </w:rPr>
        <w:sectPr>
          <w:pgSz w:w="11906" w:h="16838"/>
          <w:pgMar w:top="1440" w:right="1800" w:bottom="1440" w:left="1800" w:header="851" w:footer="992" w:gutter="0"/>
          <w:pgNumType w:fmt="numberInDash" w:start="1"/>
          <w:cols w:space="425" w:num="1"/>
          <w:docGrid w:type="lines" w:linePitch="312" w:charSpace="0"/>
        </w:sectPr>
      </w:pPr>
    </w:p>
    <w:p>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目  录</w:t>
      </w:r>
    </w:p>
    <w:p>
      <w:pPr>
        <w:rPr>
          <w:rFonts w:hint="eastAsia"/>
          <w:lang w:val="en-US" w:eastAsia="zh-CN"/>
        </w:rPr>
      </w:pPr>
    </w:p>
    <w:p>
      <w:pPr>
        <w:pStyle w:val="10"/>
        <w:tabs>
          <w:tab w:val="right" w:leader="dot" w:pos="8306"/>
        </w:tabs>
      </w:pPr>
      <w:r>
        <w:rPr>
          <w:rFonts w:hint="eastAsia" w:ascii="华文楷体" w:hAnsi="华文楷体" w:eastAsia="华文楷体" w:cs="华文楷体"/>
          <w:sz w:val="30"/>
          <w:szCs w:val="30"/>
        </w:rPr>
        <w:fldChar w:fldCharType="begin"/>
      </w:r>
      <w:r>
        <w:rPr>
          <w:rFonts w:hint="eastAsia" w:ascii="华文楷体" w:hAnsi="华文楷体" w:eastAsia="华文楷体" w:cs="华文楷体"/>
          <w:sz w:val="30"/>
          <w:szCs w:val="30"/>
        </w:rPr>
        <w:instrText xml:space="preserve">TOC \t "公文一级,1,年报二级,2,标题 1,5,标题 2,5" \h</w:instrText>
      </w:r>
      <w:r>
        <w:rPr>
          <w:rFonts w:hint="eastAsia" w:ascii="华文楷体" w:hAnsi="华文楷体" w:eastAsia="华文楷体" w:cs="华文楷体"/>
          <w:sz w:val="30"/>
          <w:szCs w:val="30"/>
        </w:rPr>
        <w:fldChar w:fldCharType="separate"/>
      </w: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_Toc28816 </w:instrText>
      </w:r>
      <w:r>
        <w:rPr>
          <w:rFonts w:hint="eastAsia" w:ascii="华文楷体" w:hAnsi="华文楷体" w:eastAsia="华文楷体" w:cs="华文楷体"/>
          <w:szCs w:val="30"/>
        </w:rPr>
        <w:fldChar w:fldCharType="separate"/>
      </w:r>
      <w:r>
        <w:rPr>
          <w:rFonts w:hint="eastAsia"/>
          <w:lang w:val="en-US" w:eastAsia="zh-CN"/>
        </w:rPr>
        <w:t>1 基本情况</w:t>
      </w:r>
      <w:r>
        <w:tab/>
      </w:r>
      <w:r>
        <w:fldChar w:fldCharType="begin"/>
      </w:r>
      <w:r>
        <w:instrText xml:space="preserve"> PAGEREF _Toc28816 \h </w:instrText>
      </w:r>
      <w:r>
        <w:fldChar w:fldCharType="separate"/>
      </w:r>
      <w:r>
        <w:t>1</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_Toc9232 </w:instrText>
      </w:r>
      <w:r>
        <w:rPr>
          <w:rFonts w:hint="eastAsia" w:ascii="华文楷体" w:hAnsi="华文楷体" w:eastAsia="华文楷体" w:cs="华文楷体"/>
          <w:szCs w:val="30"/>
        </w:rPr>
        <w:fldChar w:fldCharType="separate"/>
      </w:r>
      <w:r>
        <w:rPr>
          <w:rFonts w:hint="eastAsia"/>
          <w:lang w:val="en-US" w:eastAsia="zh-CN"/>
        </w:rPr>
        <w:t>1.1 规模和结构</w:t>
      </w:r>
      <w:r>
        <w:tab/>
      </w:r>
      <w:r>
        <w:fldChar w:fldCharType="begin"/>
      </w:r>
      <w:r>
        <w:instrText xml:space="preserve"> PAGEREF _Toc9232 \h </w:instrText>
      </w:r>
      <w:r>
        <w:fldChar w:fldCharType="separate"/>
      </w:r>
      <w:r>
        <w:t>1</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_Toc15419 </w:instrText>
      </w:r>
      <w:r>
        <w:rPr>
          <w:rFonts w:hint="eastAsia" w:ascii="华文楷体" w:hAnsi="华文楷体" w:eastAsia="华文楷体" w:cs="华文楷体"/>
          <w:szCs w:val="30"/>
        </w:rPr>
        <w:fldChar w:fldCharType="separate"/>
      </w:r>
      <w:r>
        <w:rPr>
          <w:rFonts w:hint="eastAsia"/>
          <w:lang w:val="en-US" w:eastAsia="zh-CN"/>
        </w:rPr>
        <w:t>1.2 设施设备</w:t>
      </w:r>
      <w:r>
        <w:tab/>
      </w:r>
      <w:r>
        <w:fldChar w:fldCharType="begin"/>
      </w:r>
      <w:r>
        <w:instrText xml:space="preserve"> PAGEREF _Toc15419 \h </w:instrText>
      </w:r>
      <w:r>
        <w:fldChar w:fldCharType="separate"/>
      </w:r>
      <w:r>
        <w:t>4</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_Toc7014 </w:instrText>
      </w:r>
      <w:r>
        <w:rPr>
          <w:rFonts w:hint="eastAsia" w:ascii="华文楷体" w:hAnsi="华文楷体" w:eastAsia="华文楷体" w:cs="华文楷体"/>
          <w:szCs w:val="30"/>
        </w:rPr>
        <w:fldChar w:fldCharType="separate"/>
      </w:r>
      <w:r>
        <w:rPr>
          <w:rFonts w:hint="eastAsia"/>
          <w:lang w:val="en-US" w:eastAsia="zh-CN"/>
        </w:rPr>
        <w:t>1.3 教师队伍</w:t>
      </w:r>
      <w:r>
        <w:tab/>
      </w:r>
      <w:r>
        <w:fldChar w:fldCharType="begin"/>
      </w:r>
      <w:r>
        <w:instrText xml:space="preserve"> PAGEREF _Toc7014 \h </w:instrText>
      </w:r>
      <w:r>
        <w:fldChar w:fldCharType="separate"/>
      </w:r>
      <w:r>
        <w:t>5</w:t>
      </w:r>
      <w:r>
        <w:fldChar w:fldCharType="end"/>
      </w:r>
      <w:r>
        <w:rPr>
          <w:rFonts w:hint="eastAsia" w:ascii="华文楷体" w:hAnsi="华文楷体" w:eastAsia="华文楷体" w:cs="华文楷体"/>
          <w:szCs w:val="30"/>
        </w:rPr>
        <w:fldChar w:fldCharType="end"/>
      </w:r>
    </w:p>
    <w:p>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_Toc2001 </w:instrText>
      </w:r>
      <w:r>
        <w:rPr>
          <w:rFonts w:hint="eastAsia" w:ascii="华文楷体" w:hAnsi="华文楷体" w:eastAsia="华文楷体" w:cs="华文楷体"/>
          <w:szCs w:val="30"/>
        </w:rPr>
        <w:fldChar w:fldCharType="separate"/>
      </w:r>
      <w:r>
        <w:rPr>
          <w:rFonts w:hint="eastAsia"/>
          <w:lang w:val="en-US" w:eastAsia="zh-CN"/>
        </w:rPr>
        <w:t>2 人才培养</w:t>
      </w:r>
      <w:r>
        <w:tab/>
      </w:r>
      <w:r>
        <w:fldChar w:fldCharType="begin"/>
      </w:r>
      <w:r>
        <w:instrText xml:space="preserve"> PAGEREF _Toc2001 \h </w:instrText>
      </w:r>
      <w:r>
        <w:fldChar w:fldCharType="separate"/>
      </w:r>
      <w:r>
        <w:t>6</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_Toc25080 </w:instrText>
      </w:r>
      <w:r>
        <w:rPr>
          <w:rFonts w:hint="eastAsia" w:ascii="华文楷体" w:hAnsi="华文楷体" w:eastAsia="华文楷体" w:cs="华文楷体"/>
          <w:szCs w:val="30"/>
        </w:rPr>
        <w:fldChar w:fldCharType="separate"/>
      </w:r>
      <w:r>
        <w:rPr>
          <w:rFonts w:hint="eastAsia"/>
          <w:lang w:val="en-US" w:eastAsia="zh-CN"/>
        </w:rPr>
        <w:t>2.1 专业设置</w:t>
      </w:r>
      <w:r>
        <w:tab/>
      </w:r>
      <w:r>
        <w:fldChar w:fldCharType="begin"/>
      </w:r>
      <w:r>
        <w:instrText xml:space="preserve"> PAGEREF _Toc25080 \h </w:instrText>
      </w:r>
      <w:r>
        <w:fldChar w:fldCharType="separate"/>
      </w:r>
      <w:r>
        <w:t>6</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_Toc32188 </w:instrText>
      </w:r>
      <w:r>
        <w:rPr>
          <w:rFonts w:hint="eastAsia" w:ascii="华文楷体" w:hAnsi="华文楷体" w:eastAsia="华文楷体" w:cs="华文楷体"/>
          <w:szCs w:val="30"/>
        </w:rPr>
        <w:fldChar w:fldCharType="separate"/>
      </w:r>
      <w:r>
        <w:rPr>
          <w:rFonts w:hint="default"/>
          <w:lang w:val="en-US" w:eastAsia="zh-CN"/>
        </w:rPr>
        <w:t>2.2</w:t>
      </w:r>
      <w:r>
        <w:rPr>
          <w:rFonts w:hint="eastAsia"/>
          <w:lang w:val="en-US" w:eastAsia="zh-CN"/>
        </w:rPr>
        <w:t xml:space="preserve"> </w:t>
      </w:r>
      <w:r>
        <w:rPr>
          <w:rFonts w:hint="default"/>
          <w:lang w:val="en-US" w:eastAsia="zh-CN"/>
        </w:rPr>
        <w:t>立德树人</w:t>
      </w:r>
      <w:r>
        <w:tab/>
      </w:r>
      <w:r>
        <w:fldChar w:fldCharType="begin"/>
      </w:r>
      <w:r>
        <w:instrText xml:space="preserve"> PAGEREF _Toc32188 \h </w:instrText>
      </w:r>
      <w:r>
        <w:fldChar w:fldCharType="separate"/>
      </w:r>
      <w:r>
        <w:t>8</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_Toc21108 </w:instrText>
      </w:r>
      <w:r>
        <w:rPr>
          <w:rFonts w:hint="eastAsia" w:ascii="华文楷体" w:hAnsi="华文楷体" w:eastAsia="华文楷体" w:cs="华文楷体"/>
          <w:szCs w:val="30"/>
        </w:rPr>
        <w:fldChar w:fldCharType="separate"/>
      </w:r>
      <w:r>
        <w:rPr>
          <w:rFonts w:hint="default"/>
          <w:lang w:val="en-US" w:eastAsia="zh-CN"/>
        </w:rPr>
        <w:t>2.3</w:t>
      </w:r>
      <w:r>
        <w:rPr>
          <w:rFonts w:hint="eastAsia"/>
          <w:lang w:val="en-US" w:eastAsia="zh-CN"/>
        </w:rPr>
        <w:t xml:space="preserve"> </w:t>
      </w:r>
      <w:r>
        <w:rPr>
          <w:rFonts w:hint="default"/>
          <w:lang w:val="en-US" w:eastAsia="zh-CN"/>
        </w:rPr>
        <w:t>在校体验</w:t>
      </w:r>
      <w:r>
        <w:tab/>
      </w:r>
      <w:r>
        <w:fldChar w:fldCharType="begin"/>
      </w:r>
      <w:r>
        <w:instrText xml:space="preserve"> PAGEREF _Toc21108 \h </w:instrText>
      </w:r>
      <w:r>
        <w:fldChar w:fldCharType="separate"/>
      </w:r>
      <w:r>
        <w:t>10</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_Toc10292 </w:instrText>
      </w:r>
      <w:r>
        <w:rPr>
          <w:rFonts w:hint="eastAsia" w:ascii="华文楷体" w:hAnsi="华文楷体" w:eastAsia="华文楷体" w:cs="华文楷体"/>
          <w:szCs w:val="30"/>
        </w:rPr>
        <w:fldChar w:fldCharType="separate"/>
      </w:r>
      <w:r>
        <w:rPr>
          <w:rFonts w:hint="default"/>
          <w:lang w:val="en-US" w:eastAsia="zh-CN"/>
        </w:rPr>
        <w:t>2.4</w:t>
      </w:r>
      <w:r>
        <w:rPr>
          <w:rFonts w:hint="eastAsia"/>
          <w:lang w:val="en-US" w:eastAsia="zh-CN"/>
        </w:rPr>
        <w:t xml:space="preserve"> </w:t>
      </w:r>
      <w:r>
        <w:rPr>
          <w:rFonts w:hint="default"/>
          <w:lang w:val="en-US" w:eastAsia="zh-CN"/>
        </w:rPr>
        <w:t>就业质量</w:t>
      </w:r>
      <w:r>
        <w:tab/>
      </w:r>
      <w:r>
        <w:fldChar w:fldCharType="begin"/>
      </w:r>
      <w:r>
        <w:instrText xml:space="preserve"> PAGEREF _Toc10292 \h </w:instrText>
      </w:r>
      <w:r>
        <w:fldChar w:fldCharType="separate"/>
      </w:r>
      <w:r>
        <w:t>12</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_Toc1896 </w:instrText>
      </w:r>
      <w:r>
        <w:rPr>
          <w:rFonts w:hint="eastAsia" w:ascii="华文楷体" w:hAnsi="华文楷体" w:eastAsia="华文楷体" w:cs="华文楷体"/>
          <w:szCs w:val="30"/>
        </w:rPr>
        <w:fldChar w:fldCharType="separate"/>
      </w:r>
      <w:r>
        <w:rPr>
          <w:rFonts w:hint="default"/>
          <w:lang w:val="en-US" w:eastAsia="zh-CN"/>
        </w:rPr>
        <w:t>2.5</w:t>
      </w:r>
      <w:r>
        <w:rPr>
          <w:rFonts w:hint="eastAsia"/>
          <w:lang w:val="en-US" w:eastAsia="zh-CN"/>
        </w:rPr>
        <w:t xml:space="preserve"> </w:t>
      </w:r>
      <w:r>
        <w:rPr>
          <w:rFonts w:hint="default"/>
          <w:lang w:val="en-US" w:eastAsia="zh-CN"/>
        </w:rPr>
        <w:t>升学情况</w:t>
      </w:r>
      <w:r>
        <w:tab/>
      </w:r>
      <w:r>
        <w:fldChar w:fldCharType="begin"/>
      </w:r>
      <w:r>
        <w:instrText xml:space="preserve"> PAGEREF _Toc1896 \h </w:instrText>
      </w:r>
      <w:r>
        <w:fldChar w:fldCharType="separate"/>
      </w:r>
      <w:r>
        <w:t>14</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_Toc29663 </w:instrText>
      </w:r>
      <w:r>
        <w:rPr>
          <w:rFonts w:hint="eastAsia" w:ascii="华文楷体" w:hAnsi="华文楷体" w:eastAsia="华文楷体" w:cs="华文楷体"/>
          <w:szCs w:val="30"/>
        </w:rPr>
        <w:fldChar w:fldCharType="separate"/>
      </w:r>
      <w:r>
        <w:rPr>
          <w:rFonts w:hint="default"/>
          <w:lang w:val="en-US" w:eastAsia="zh-CN"/>
        </w:rPr>
        <w:t>2.</w:t>
      </w:r>
      <w:r>
        <w:rPr>
          <w:rFonts w:hint="eastAsia"/>
          <w:lang w:val="en-US" w:eastAsia="zh-CN"/>
        </w:rPr>
        <w:t xml:space="preserve">6 </w:t>
      </w:r>
      <w:r>
        <w:rPr>
          <w:rFonts w:hint="default"/>
          <w:lang w:val="en-US" w:eastAsia="zh-CN"/>
        </w:rPr>
        <w:t>技能大赛</w:t>
      </w:r>
      <w:r>
        <w:tab/>
      </w:r>
      <w:r>
        <w:fldChar w:fldCharType="begin"/>
      </w:r>
      <w:r>
        <w:instrText xml:space="preserve"> PAGEREF _Toc29663 \h </w:instrText>
      </w:r>
      <w:r>
        <w:fldChar w:fldCharType="separate"/>
      </w:r>
      <w:r>
        <w:t>15</w:t>
      </w:r>
      <w:r>
        <w:fldChar w:fldCharType="end"/>
      </w:r>
      <w:r>
        <w:rPr>
          <w:rFonts w:hint="eastAsia" w:ascii="华文楷体" w:hAnsi="华文楷体" w:eastAsia="华文楷体" w:cs="华文楷体"/>
          <w:szCs w:val="30"/>
        </w:rPr>
        <w:fldChar w:fldCharType="end"/>
      </w:r>
    </w:p>
    <w:p>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_Toc19951 </w:instrText>
      </w:r>
      <w:r>
        <w:rPr>
          <w:rFonts w:hint="eastAsia" w:ascii="华文楷体" w:hAnsi="华文楷体" w:eastAsia="华文楷体" w:cs="华文楷体"/>
          <w:szCs w:val="30"/>
        </w:rPr>
        <w:fldChar w:fldCharType="separate"/>
      </w:r>
      <w:r>
        <w:rPr>
          <w:rFonts w:hint="eastAsia"/>
          <w:lang w:val="en-US" w:eastAsia="zh-CN"/>
        </w:rPr>
        <w:t>3 服务贡献</w:t>
      </w:r>
      <w:r>
        <w:tab/>
      </w:r>
      <w:r>
        <w:fldChar w:fldCharType="begin"/>
      </w:r>
      <w:r>
        <w:instrText xml:space="preserve"> PAGEREF _Toc19951 \h </w:instrText>
      </w:r>
      <w:r>
        <w:fldChar w:fldCharType="separate"/>
      </w:r>
      <w:r>
        <w:t>17</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_Toc26704 </w:instrText>
      </w:r>
      <w:r>
        <w:rPr>
          <w:rFonts w:hint="eastAsia" w:ascii="华文楷体" w:hAnsi="华文楷体" w:eastAsia="华文楷体" w:cs="华文楷体"/>
          <w:szCs w:val="30"/>
        </w:rPr>
        <w:fldChar w:fldCharType="separate"/>
      </w:r>
      <w:r>
        <w:rPr>
          <w:rFonts w:hint="eastAsia"/>
          <w:lang w:val="en-US" w:eastAsia="zh-CN"/>
        </w:rPr>
        <w:t>3.1 服务经济</w:t>
      </w:r>
      <w:r>
        <w:tab/>
      </w:r>
      <w:r>
        <w:fldChar w:fldCharType="begin"/>
      </w:r>
      <w:r>
        <w:instrText xml:space="preserve"> PAGEREF _Toc26704 \h </w:instrText>
      </w:r>
      <w:r>
        <w:fldChar w:fldCharType="separate"/>
      </w:r>
      <w:r>
        <w:t>17</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_Toc19114 </w:instrText>
      </w:r>
      <w:r>
        <w:rPr>
          <w:rFonts w:hint="eastAsia" w:ascii="华文楷体" w:hAnsi="华文楷体" w:eastAsia="华文楷体" w:cs="华文楷体"/>
          <w:szCs w:val="30"/>
        </w:rPr>
        <w:fldChar w:fldCharType="separate"/>
      </w:r>
      <w:r>
        <w:rPr>
          <w:rFonts w:hint="eastAsia"/>
          <w:lang w:val="en-US" w:eastAsia="zh-CN"/>
        </w:rPr>
        <w:t>3.2 服务社会</w:t>
      </w:r>
      <w:r>
        <w:tab/>
      </w:r>
      <w:r>
        <w:fldChar w:fldCharType="begin"/>
      </w:r>
      <w:r>
        <w:instrText xml:space="preserve"> PAGEREF _Toc19114 \h </w:instrText>
      </w:r>
      <w:r>
        <w:fldChar w:fldCharType="separate"/>
      </w:r>
      <w:r>
        <w:t>18</w:t>
      </w:r>
      <w:r>
        <w:fldChar w:fldCharType="end"/>
      </w:r>
      <w:r>
        <w:rPr>
          <w:rFonts w:hint="eastAsia" w:ascii="华文楷体" w:hAnsi="华文楷体" w:eastAsia="华文楷体" w:cs="华文楷体"/>
          <w:szCs w:val="30"/>
        </w:rPr>
        <w:fldChar w:fldCharType="end"/>
      </w:r>
    </w:p>
    <w:p>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_Toc19863 </w:instrText>
      </w:r>
      <w:r>
        <w:rPr>
          <w:rFonts w:hint="eastAsia" w:ascii="华文楷体" w:hAnsi="华文楷体" w:eastAsia="华文楷体" w:cs="华文楷体"/>
          <w:szCs w:val="30"/>
        </w:rPr>
        <w:fldChar w:fldCharType="separate"/>
      </w:r>
      <w:r>
        <w:rPr>
          <w:rFonts w:hint="eastAsia"/>
          <w:lang w:val="en-US" w:eastAsia="zh-CN"/>
        </w:rPr>
        <w:t>4 文化传承</w:t>
      </w:r>
      <w:r>
        <w:tab/>
      </w:r>
      <w:r>
        <w:fldChar w:fldCharType="begin"/>
      </w:r>
      <w:r>
        <w:instrText xml:space="preserve"> PAGEREF _Toc19863 \h </w:instrText>
      </w:r>
      <w:r>
        <w:fldChar w:fldCharType="separate"/>
      </w:r>
      <w:r>
        <w:t>21</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_Toc19348 </w:instrText>
      </w:r>
      <w:r>
        <w:rPr>
          <w:rFonts w:hint="eastAsia" w:ascii="华文楷体" w:hAnsi="华文楷体" w:eastAsia="华文楷体" w:cs="华文楷体"/>
          <w:szCs w:val="30"/>
        </w:rPr>
        <w:fldChar w:fldCharType="separate"/>
      </w:r>
      <w:r>
        <w:rPr>
          <w:rFonts w:hint="eastAsia"/>
          <w:lang w:val="en-US" w:eastAsia="zh-CN"/>
        </w:rPr>
        <w:t>4.1 工匠精神</w:t>
      </w:r>
      <w:r>
        <w:tab/>
      </w:r>
      <w:r>
        <w:fldChar w:fldCharType="begin"/>
      </w:r>
      <w:r>
        <w:instrText xml:space="preserve"> PAGEREF _Toc19348 \h </w:instrText>
      </w:r>
      <w:r>
        <w:fldChar w:fldCharType="separate"/>
      </w:r>
      <w:r>
        <w:t>21</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_Toc28482 </w:instrText>
      </w:r>
      <w:r>
        <w:rPr>
          <w:rFonts w:hint="eastAsia" w:ascii="华文楷体" w:hAnsi="华文楷体" w:eastAsia="华文楷体" w:cs="华文楷体"/>
          <w:szCs w:val="30"/>
        </w:rPr>
        <w:fldChar w:fldCharType="separate"/>
      </w:r>
      <w:r>
        <w:rPr>
          <w:rFonts w:hint="eastAsia"/>
          <w:lang w:val="en-US" w:eastAsia="zh-CN"/>
        </w:rPr>
        <w:t>4.2 红色文化</w:t>
      </w:r>
      <w:r>
        <w:tab/>
      </w:r>
      <w:r>
        <w:fldChar w:fldCharType="begin"/>
      </w:r>
      <w:r>
        <w:instrText xml:space="preserve"> PAGEREF _Toc28482 \h </w:instrText>
      </w:r>
      <w:r>
        <w:fldChar w:fldCharType="separate"/>
      </w:r>
      <w:r>
        <w:t>22</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_Toc21880 </w:instrText>
      </w:r>
      <w:r>
        <w:rPr>
          <w:rFonts w:hint="eastAsia" w:ascii="华文楷体" w:hAnsi="华文楷体" w:eastAsia="华文楷体" w:cs="华文楷体"/>
          <w:szCs w:val="30"/>
        </w:rPr>
        <w:fldChar w:fldCharType="separate"/>
      </w:r>
      <w:r>
        <w:rPr>
          <w:rFonts w:hint="eastAsia"/>
          <w:lang w:val="en-US" w:eastAsia="zh-CN"/>
        </w:rPr>
        <w:t>4.3 社团建设</w:t>
      </w:r>
      <w:r>
        <w:tab/>
      </w:r>
      <w:r>
        <w:fldChar w:fldCharType="begin"/>
      </w:r>
      <w:r>
        <w:instrText xml:space="preserve"> PAGEREF _Toc21880 \h </w:instrText>
      </w:r>
      <w:r>
        <w:fldChar w:fldCharType="separate"/>
      </w:r>
      <w:r>
        <w:t>24</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_Toc28803 </w:instrText>
      </w:r>
      <w:r>
        <w:rPr>
          <w:rFonts w:hint="eastAsia" w:ascii="华文楷体" w:hAnsi="华文楷体" w:eastAsia="华文楷体" w:cs="华文楷体"/>
          <w:szCs w:val="30"/>
        </w:rPr>
        <w:fldChar w:fldCharType="separate"/>
      </w:r>
      <w:r>
        <w:rPr>
          <w:rFonts w:hint="eastAsia"/>
          <w:lang w:val="en-US" w:eastAsia="zh-CN"/>
        </w:rPr>
        <w:t>4.4 传统文化</w:t>
      </w:r>
      <w:r>
        <w:tab/>
      </w:r>
      <w:r>
        <w:fldChar w:fldCharType="begin"/>
      </w:r>
      <w:r>
        <w:instrText xml:space="preserve"> PAGEREF _Toc28803 \h </w:instrText>
      </w:r>
      <w:r>
        <w:fldChar w:fldCharType="separate"/>
      </w:r>
      <w:r>
        <w:t>24</w:t>
      </w:r>
      <w:r>
        <w:fldChar w:fldCharType="end"/>
      </w:r>
      <w:r>
        <w:rPr>
          <w:rFonts w:hint="eastAsia" w:ascii="华文楷体" w:hAnsi="华文楷体" w:eastAsia="华文楷体" w:cs="华文楷体"/>
          <w:szCs w:val="30"/>
        </w:rPr>
        <w:fldChar w:fldCharType="end"/>
      </w:r>
    </w:p>
    <w:p>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_Toc12815 </w:instrText>
      </w:r>
      <w:r>
        <w:rPr>
          <w:rFonts w:hint="eastAsia" w:ascii="华文楷体" w:hAnsi="华文楷体" w:eastAsia="华文楷体" w:cs="华文楷体"/>
          <w:szCs w:val="30"/>
        </w:rPr>
        <w:fldChar w:fldCharType="separate"/>
      </w:r>
      <w:r>
        <w:rPr>
          <w:rFonts w:hint="eastAsia"/>
          <w:lang w:val="en-US" w:eastAsia="zh-CN"/>
        </w:rPr>
        <w:t>5 产教融合</w:t>
      </w:r>
      <w:r>
        <w:tab/>
      </w:r>
      <w:r>
        <w:fldChar w:fldCharType="begin"/>
      </w:r>
      <w:r>
        <w:instrText xml:space="preserve"> PAGEREF _Toc12815 \h </w:instrText>
      </w:r>
      <w:r>
        <w:fldChar w:fldCharType="separate"/>
      </w:r>
      <w:r>
        <w:t>27</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_Toc592 </w:instrText>
      </w:r>
      <w:r>
        <w:rPr>
          <w:rFonts w:hint="eastAsia" w:ascii="华文楷体" w:hAnsi="华文楷体" w:eastAsia="华文楷体" w:cs="华文楷体"/>
          <w:szCs w:val="30"/>
        </w:rPr>
        <w:fldChar w:fldCharType="separate"/>
      </w:r>
      <w:r>
        <w:rPr>
          <w:rFonts w:hint="eastAsia"/>
          <w:lang w:val="en-US" w:eastAsia="zh-CN"/>
        </w:rPr>
        <w:t>5.1 政策引导</w:t>
      </w:r>
      <w:r>
        <w:tab/>
      </w:r>
      <w:r>
        <w:fldChar w:fldCharType="begin"/>
      </w:r>
      <w:r>
        <w:instrText xml:space="preserve"> PAGEREF _Toc592 \h </w:instrText>
      </w:r>
      <w:r>
        <w:fldChar w:fldCharType="separate"/>
      </w:r>
      <w:r>
        <w:t>27</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_Toc11280 </w:instrText>
      </w:r>
      <w:r>
        <w:rPr>
          <w:rFonts w:hint="eastAsia" w:ascii="华文楷体" w:hAnsi="华文楷体" w:eastAsia="华文楷体" w:cs="华文楷体"/>
          <w:szCs w:val="30"/>
        </w:rPr>
        <w:fldChar w:fldCharType="separate"/>
      </w:r>
      <w:r>
        <w:rPr>
          <w:rFonts w:hint="eastAsia"/>
          <w:lang w:val="en-US" w:eastAsia="zh-CN"/>
        </w:rPr>
        <w:t>5.2 双元育人</w:t>
      </w:r>
      <w:r>
        <w:tab/>
      </w:r>
      <w:r>
        <w:fldChar w:fldCharType="begin"/>
      </w:r>
      <w:r>
        <w:instrText xml:space="preserve"> PAGEREF _Toc11280 \h </w:instrText>
      </w:r>
      <w:r>
        <w:fldChar w:fldCharType="separate"/>
      </w:r>
      <w:r>
        <w:t>27</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_Toc5048 </w:instrText>
      </w:r>
      <w:r>
        <w:rPr>
          <w:rFonts w:hint="eastAsia" w:ascii="华文楷体" w:hAnsi="华文楷体" w:eastAsia="华文楷体" w:cs="华文楷体"/>
          <w:szCs w:val="30"/>
        </w:rPr>
        <w:fldChar w:fldCharType="separate"/>
      </w:r>
      <w:r>
        <w:rPr>
          <w:rFonts w:hint="eastAsia"/>
          <w:lang w:val="en-US" w:eastAsia="zh-CN"/>
        </w:rPr>
        <w:t>5.3 1+X试点</w:t>
      </w:r>
      <w:r>
        <w:tab/>
      </w:r>
      <w:r>
        <w:fldChar w:fldCharType="begin"/>
      </w:r>
      <w:r>
        <w:instrText xml:space="preserve"> PAGEREF _Toc5048 \h </w:instrText>
      </w:r>
      <w:r>
        <w:fldChar w:fldCharType="separate"/>
      </w:r>
      <w:r>
        <w:t>29</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_Toc20662 </w:instrText>
      </w:r>
      <w:r>
        <w:rPr>
          <w:rFonts w:hint="eastAsia" w:ascii="华文楷体" w:hAnsi="华文楷体" w:eastAsia="华文楷体" w:cs="华文楷体"/>
          <w:szCs w:val="30"/>
        </w:rPr>
        <w:fldChar w:fldCharType="separate"/>
      </w:r>
      <w:r>
        <w:rPr>
          <w:rFonts w:hint="eastAsia"/>
          <w:lang w:val="en-US" w:eastAsia="zh-CN"/>
        </w:rPr>
        <w:t>5.4 实习实训</w:t>
      </w:r>
      <w:r>
        <w:tab/>
      </w:r>
      <w:r>
        <w:fldChar w:fldCharType="begin"/>
      </w:r>
      <w:r>
        <w:instrText xml:space="preserve"> PAGEREF _Toc20662 \h </w:instrText>
      </w:r>
      <w:r>
        <w:fldChar w:fldCharType="separate"/>
      </w:r>
      <w:r>
        <w:t>30</w:t>
      </w:r>
      <w:r>
        <w:fldChar w:fldCharType="end"/>
      </w:r>
      <w:r>
        <w:rPr>
          <w:rFonts w:hint="eastAsia" w:ascii="华文楷体" w:hAnsi="华文楷体" w:eastAsia="华文楷体" w:cs="华文楷体"/>
          <w:szCs w:val="30"/>
        </w:rPr>
        <w:fldChar w:fldCharType="end"/>
      </w:r>
    </w:p>
    <w:p>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_Toc5580 </w:instrText>
      </w:r>
      <w:r>
        <w:rPr>
          <w:rFonts w:hint="eastAsia" w:ascii="华文楷体" w:hAnsi="华文楷体" w:eastAsia="华文楷体" w:cs="华文楷体"/>
          <w:szCs w:val="30"/>
        </w:rPr>
        <w:fldChar w:fldCharType="separate"/>
      </w:r>
      <w:r>
        <w:rPr>
          <w:rFonts w:hint="eastAsia"/>
          <w:lang w:val="en-US" w:eastAsia="zh-CN"/>
        </w:rPr>
        <w:t>6 发展保障</w:t>
      </w:r>
      <w:r>
        <w:tab/>
      </w:r>
      <w:r>
        <w:fldChar w:fldCharType="begin"/>
      </w:r>
      <w:r>
        <w:instrText xml:space="preserve"> PAGEREF _Toc5580 \h </w:instrText>
      </w:r>
      <w:r>
        <w:fldChar w:fldCharType="separate"/>
      </w:r>
      <w:r>
        <w:t>32</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_Toc2699 </w:instrText>
      </w:r>
      <w:r>
        <w:rPr>
          <w:rFonts w:hint="eastAsia" w:ascii="华文楷体" w:hAnsi="华文楷体" w:eastAsia="华文楷体" w:cs="华文楷体"/>
          <w:szCs w:val="30"/>
        </w:rPr>
        <w:fldChar w:fldCharType="separate"/>
      </w:r>
      <w:r>
        <w:rPr>
          <w:rFonts w:hint="eastAsia"/>
          <w:lang w:val="en-US" w:eastAsia="zh-CN"/>
        </w:rPr>
        <w:t>6</w:t>
      </w:r>
      <w:r>
        <w:rPr>
          <w:rFonts w:hint="default"/>
          <w:lang w:val="en-US" w:eastAsia="zh-CN"/>
        </w:rPr>
        <w:t>.1</w:t>
      </w:r>
      <w:r>
        <w:rPr>
          <w:rFonts w:hint="eastAsia"/>
          <w:lang w:val="en-US" w:eastAsia="zh-CN"/>
        </w:rPr>
        <w:t xml:space="preserve"> </w:t>
      </w:r>
      <w:r>
        <w:rPr>
          <w:rFonts w:hint="default"/>
          <w:lang w:val="en-US" w:eastAsia="zh-CN"/>
        </w:rPr>
        <w:t>党建引领</w:t>
      </w:r>
      <w:r>
        <w:tab/>
      </w:r>
      <w:r>
        <w:fldChar w:fldCharType="begin"/>
      </w:r>
      <w:r>
        <w:instrText xml:space="preserve"> PAGEREF _Toc2699 \h </w:instrText>
      </w:r>
      <w:r>
        <w:fldChar w:fldCharType="separate"/>
      </w:r>
      <w:r>
        <w:t>32</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_Toc30656 </w:instrText>
      </w:r>
      <w:r>
        <w:rPr>
          <w:rFonts w:hint="eastAsia" w:ascii="华文楷体" w:hAnsi="华文楷体" w:eastAsia="华文楷体" w:cs="华文楷体"/>
          <w:szCs w:val="30"/>
        </w:rPr>
        <w:fldChar w:fldCharType="separate"/>
      </w:r>
      <w:r>
        <w:rPr>
          <w:rFonts w:hint="eastAsia"/>
          <w:lang w:val="en-US" w:eastAsia="zh-CN"/>
        </w:rPr>
        <w:t>6.2 政策支持</w:t>
      </w:r>
      <w:r>
        <w:tab/>
      </w:r>
      <w:r>
        <w:fldChar w:fldCharType="begin"/>
      </w:r>
      <w:r>
        <w:instrText xml:space="preserve"> PAGEREF _Toc30656 \h </w:instrText>
      </w:r>
      <w:r>
        <w:fldChar w:fldCharType="separate"/>
      </w:r>
      <w:r>
        <w:t>33</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_Toc18295 </w:instrText>
      </w:r>
      <w:r>
        <w:rPr>
          <w:rFonts w:hint="eastAsia" w:ascii="华文楷体" w:hAnsi="华文楷体" w:eastAsia="华文楷体" w:cs="华文楷体"/>
          <w:szCs w:val="30"/>
        </w:rPr>
        <w:fldChar w:fldCharType="separate"/>
      </w:r>
      <w:r>
        <w:rPr>
          <w:rFonts w:hint="eastAsia"/>
          <w:lang w:val="en-US" w:eastAsia="zh-CN"/>
        </w:rPr>
        <w:t>6.3 经费投入</w:t>
      </w:r>
      <w:r>
        <w:tab/>
      </w:r>
      <w:r>
        <w:fldChar w:fldCharType="begin"/>
      </w:r>
      <w:r>
        <w:instrText xml:space="preserve"> PAGEREF _Toc18295 \h </w:instrText>
      </w:r>
      <w:r>
        <w:fldChar w:fldCharType="separate"/>
      </w:r>
      <w:r>
        <w:t>34</w:t>
      </w:r>
      <w:r>
        <w:fldChar w:fldCharType="end"/>
      </w:r>
      <w:r>
        <w:rPr>
          <w:rFonts w:hint="eastAsia" w:ascii="华文楷体" w:hAnsi="华文楷体" w:eastAsia="华文楷体" w:cs="华文楷体"/>
          <w:szCs w:val="30"/>
        </w:rPr>
        <w:fldChar w:fldCharType="end"/>
      </w:r>
    </w:p>
    <w:p>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_Toc25914 </w:instrText>
      </w:r>
      <w:r>
        <w:rPr>
          <w:rFonts w:hint="eastAsia" w:ascii="华文楷体" w:hAnsi="华文楷体" w:eastAsia="华文楷体" w:cs="华文楷体"/>
          <w:szCs w:val="30"/>
        </w:rPr>
        <w:fldChar w:fldCharType="separate"/>
      </w:r>
      <w:r>
        <w:rPr>
          <w:rFonts w:hint="eastAsia"/>
          <w:lang w:val="en-US" w:eastAsia="zh-CN"/>
        </w:rPr>
        <w:t>7 面临挑战</w:t>
      </w:r>
      <w:r>
        <w:tab/>
      </w:r>
      <w:r>
        <w:fldChar w:fldCharType="begin"/>
      </w:r>
      <w:r>
        <w:instrText xml:space="preserve"> PAGEREF _Toc25914 \h </w:instrText>
      </w:r>
      <w:r>
        <w:fldChar w:fldCharType="separate"/>
      </w:r>
      <w:r>
        <w:t>35</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_Toc11370 </w:instrText>
      </w:r>
      <w:r>
        <w:rPr>
          <w:rFonts w:hint="eastAsia" w:ascii="华文楷体" w:hAnsi="华文楷体" w:eastAsia="华文楷体" w:cs="华文楷体"/>
          <w:szCs w:val="30"/>
        </w:rPr>
        <w:fldChar w:fldCharType="separate"/>
      </w:r>
      <w:r>
        <w:rPr>
          <w:rFonts w:hint="eastAsia"/>
          <w:lang w:val="en-US" w:eastAsia="zh-CN"/>
        </w:rPr>
        <w:t>7.1 个别政策落地难</w:t>
      </w:r>
      <w:r>
        <w:tab/>
      </w:r>
      <w:r>
        <w:fldChar w:fldCharType="begin"/>
      </w:r>
      <w:r>
        <w:instrText xml:space="preserve"> PAGEREF _Toc11370 \h </w:instrText>
      </w:r>
      <w:r>
        <w:fldChar w:fldCharType="separate"/>
      </w:r>
      <w:r>
        <w:t>35</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_Toc24546 </w:instrText>
      </w:r>
      <w:r>
        <w:rPr>
          <w:rFonts w:hint="eastAsia" w:ascii="华文楷体" w:hAnsi="华文楷体" w:eastAsia="华文楷体" w:cs="华文楷体"/>
          <w:szCs w:val="30"/>
        </w:rPr>
        <w:fldChar w:fldCharType="separate"/>
      </w:r>
      <w:r>
        <w:rPr>
          <w:rFonts w:hint="eastAsia"/>
          <w:lang w:val="en-US" w:eastAsia="zh-CN"/>
        </w:rPr>
        <w:t>7.2 教师队伍缺编缺员</w:t>
      </w:r>
      <w:r>
        <w:tab/>
      </w:r>
      <w:r>
        <w:fldChar w:fldCharType="begin"/>
      </w:r>
      <w:r>
        <w:instrText xml:space="preserve"> PAGEREF _Toc24546 \h </w:instrText>
      </w:r>
      <w:r>
        <w:fldChar w:fldCharType="separate"/>
      </w:r>
      <w:r>
        <w:t>35</w:t>
      </w:r>
      <w:r>
        <w:fldChar w:fldCharType="end"/>
      </w:r>
      <w:r>
        <w:rPr>
          <w:rFonts w:hint="eastAsia" w:ascii="华文楷体" w:hAnsi="华文楷体" w:eastAsia="华文楷体" w:cs="华文楷体"/>
          <w:szCs w:val="30"/>
        </w:rPr>
        <w:fldChar w:fldCharType="end"/>
      </w:r>
    </w:p>
    <w:p>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_Toc11023 </w:instrText>
      </w:r>
      <w:r>
        <w:rPr>
          <w:rFonts w:hint="eastAsia" w:ascii="华文楷体" w:hAnsi="华文楷体" w:eastAsia="华文楷体" w:cs="华文楷体"/>
          <w:szCs w:val="30"/>
        </w:rPr>
        <w:fldChar w:fldCharType="separate"/>
      </w:r>
      <w:r>
        <w:rPr>
          <w:rFonts w:hint="eastAsia"/>
          <w:lang w:val="en-US" w:eastAsia="zh-CN"/>
        </w:rPr>
        <w:t>7.3 产教融合亟待加强</w:t>
      </w:r>
      <w:r>
        <w:tab/>
      </w:r>
      <w:r>
        <w:fldChar w:fldCharType="begin"/>
      </w:r>
      <w:r>
        <w:instrText xml:space="preserve"> PAGEREF _Toc11023 \h </w:instrText>
      </w:r>
      <w:r>
        <w:fldChar w:fldCharType="separate"/>
      </w:r>
      <w:r>
        <w:t>35</w:t>
      </w:r>
      <w:r>
        <w:fldChar w:fldCharType="end"/>
      </w:r>
      <w:r>
        <w:rPr>
          <w:rFonts w:hint="eastAsia" w:ascii="华文楷体" w:hAnsi="华文楷体" w:eastAsia="华文楷体" w:cs="华文楷体"/>
          <w:szCs w:val="30"/>
        </w:rPr>
        <w:fldChar w:fldCharType="end"/>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rPr>
      </w:pPr>
      <w:r>
        <w:rPr>
          <w:rFonts w:hint="eastAsia" w:ascii="华文楷体" w:hAnsi="华文楷体" w:eastAsia="华文楷体" w:cs="华文楷体"/>
          <w:szCs w:val="30"/>
        </w:rPr>
        <w:fldChar w:fldCharType="end"/>
      </w:r>
    </w:p>
    <w:p>
      <w:pPr>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br w:type="page"/>
      </w:r>
    </w:p>
    <w:p>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案 例 目 录</w:t>
      </w:r>
    </w:p>
    <w:p>
      <w:pPr>
        <w:rPr>
          <w:rFonts w:hint="eastAsia"/>
          <w:lang w:val="en-US" w:eastAsia="zh-CN"/>
        </w:rPr>
      </w:pPr>
    </w:p>
    <w:p>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\f \t "案例标题,1,标题 1,9" \h \u </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_Toc26253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1</w:t>
      </w:r>
      <w:r>
        <w:rPr>
          <w:rFonts w:hint="default"/>
          <w:lang w:val="en-US" w:eastAsia="zh-CN"/>
        </w:rPr>
        <w:t>：</w:t>
      </w:r>
      <w:r>
        <w:rPr>
          <w:rFonts w:hint="eastAsia"/>
          <w:lang w:val="en-US" w:eastAsia="zh-CN"/>
        </w:rPr>
        <w:t>永修中专开展</w:t>
      </w:r>
      <w:r>
        <w:rPr>
          <w:rFonts w:hint="default"/>
          <w:lang w:val="en-US" w:eastAsia="zh-CN"/>
        </w:rPr>
        <w:t>丰富多彩的共青团活动</w:t>
      </w:r>
      <w:r>
        <w:tab/>
      </w:r>
      <w:r>
        <w:fldChar w:fldCharType="begin"/>
      </w:r>
      <w:r>
        <w:instrText xml:space="preserve"> PAGEREF _Toc26253 \h </w:instrText>
      </w:r>
      <w:r>
        <w:fldChar w:fldCharType="separate"/>
      </w:r>
      <w:r>
        <w:t>8</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_Toc17226 </w:instrText>
      </w:r>
      <w:r>
        <w:rPr>
          <w:rFonts w:hint="eastAsia" w:ascii="华文楷体" w:hAnsi="华文楷体" w:eastAsia="华文楷体" w:cs="华文楷体"/>
          <w:szCs w:val="30"/>
          <w:lang w:val="en-US" w:eastAsia="zh-CN"/>
        </w:rPr>
        <w:fldChar w:fldCharType="separate"/>
      </w:r>
      <w:r>
        <w:rPr>
          <w:rFonts w:hint="eastAsia"/>
          <w:lang w:val="en-US" w:eastAsia="zh-CN"/>
        </w:rPr>
        <w:t>案例2：九江科技中专提高学校思想政治理论课教学质量</w:t>
      </w:r>
      <w:r>
        <w:tab/>
      </w:r>
      <w:r>
        <w:fldChar w:fldCharType="begin"/>
      </w:r>
      <w:r>
        <w:instrText xml:space="preserve"> PAGEREF _Toc17226 \h </w:instrText>
      </w:r>
      <w:r>
        <w:fldChar w:fldCharType="separate"/>
      </w:r>
      <w:r>
        <w:t>9</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_Toc10980 </w:instrText>
      </w:r>
      <w:r>
        <w:rPr>
          <w:rFonts w:hint="eastAsia" w:ascii="华文楷体" w:hAnsi="华文楷体" w:eastAsia="华文楷体" w:cs="华文楷体"/>
          <w:szCs w:val="30"/>
          <w:lang w:val="en-US" w:eastAsia="zh-CN"/>
        </w:rPr>
        <w:fldChar w:fldCharType="separate"/>
      </w:r>
      <w:r>
        <w:rPr>
          <w:rFonts w:hint="eastAsia"/>
          <w:lang w:val="en-US" w:eastAsia="zh-CN"/>
        </w:rPr>
        <w:t>案例3：柴桑中职举办TCL（智能制造）专业第二届技能大赛</w:t>
      </w:r>
      <w:r>
        <w:tab/>
      </w:r>
      <w:r>
        <w:fldChar w:fldCharType="begin"/>
      </w:r>
      <w:r>
        <w:instrText xml:space="preserve"> PAGEREF _Toc10980 \h </w:instrText>
      </w:r>
      <w:r>
        <w:fldChar w:fldCharType="separate"/>
      </w:r>
      <w:r>
        <w:t>16</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_Toc15000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4</w:t>
      </w:r>
      <w:r>
        <w:rPr>
          <w:rFonts w:hint="default"/>
          <w:lang w:val="en-US" w:eastAsia="zh-CN"/>
        </w:rPr>
        <w:t>：</w:t>
      </w:r>
      <w:r>
        <w:rPr>
          <w:rFonts w:hint="eastAsia"/>
          <w:lang w:val="en-US" w:eastAsia="zh-CN"/>
        </w:rPr>
        <w:t>九江科技中专</w:t>
      </w:r>
      <w:r>
        <w:rPr>
          <w:rFonts w:hint="default"/>
          <w:lang w:val="en-US" w:eastAsia="zh-CN"/>
        </w:rPr>
        <w:t>“产教融合、校企共育”谱新篇</w:t>
      </w:r>
      <w:r>
        <w:tab/>
      </w:r>
      <w:r>
        <w:fldChar w:fldCharType="begin"/>
      </w:r>
      <w:r>
        <w:instrText xml:space="preserve"> PAGEREF _Toc15000 \h </w:instrText>
      </w:r>
      <w:r>
        <w:fldChar w:fldCharType="separate"/>
      </w:r>
      <w:r>
        <w:t>17</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_Toc14374 </w:instrText>
      </w:r>
      <w:r>
        <w:rPr>
          <w:rFonts w:hint="eastAsia" w:ascii="华文楷体" w:hAnsi="华文楷体" w:eastAsia="华文楷体" w:cs="华文楷体"/>
          <w:szCs w:val="30"/>
          <w:lang w:val="en-US" w:eastAsia="zh-CN"/>
        </w:rPr>
        <w:fldChar w:fldCharType="separate"/>
      </w:r>
      <w:r>
        <w:rPr>
          <w:rFonts w:hint="eastAsia"/>
          <w:lang w:val="en-US" w:eastAsia="zh-CN"/>
        </w:rPr>
        <w:t>案例5：瑞昌中专建设退役军人培训中心</w:t>
      </w:r>
      <w:r>
        <w:tab/>
      </w:r>
      <w:r>
        <w:fldChar w:fldCharType="begin"/>
      </w:r>
      <w:r>
        <w:instrText xml:space="preserve"> PAGEREF _Toc14374 \h </w:instrText>
      </w:r>
      <w:r>
        <w:fldChar w:fldCharType="separate"/>
      </w:r>
      <w:r>
        <w:t>18</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_Toc30959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6</w:t>
      </w:r>
      <w:r>
        <w:rPr>
          <w:rFonts w:hint="default"/>
          <w:lang w:val="en-US" w:eastAsia="zh-CN"/>
        </w:rPr>
        <w:t>：</w:t>
      </w:r>
      <w:r>
        <w:rPr>
          <w:rFonts w:hint="eastAsia"/>
          <w:lang w:val="en-US" w:eastAsia="zh-CN"/>
        </w:rPr>
        <w:t>九江理工学校组织清明祭扫先烈</w:t>
      </w:r>
      <w:r>
        <w:tab/>
      </w:r>
      <w:r>
        <w:fldChar w:fldCharType="begin"/>
      </w:r>
      <w:r>
        <w:instrText xml:space="preserve"> PAGEREF _Toc30959 \h </w:instrText>
      </w:r>
      <w:r>
        <w:fldChar w:fldCharType="separate"/>
      </w:r>
      <w:r>
        <w:t>23</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_Toc3046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7：都昌中专组织</w:t>
      </w:r>
      <w:r>
        <w:rPr>
          <w:rFonts w:hint="default"/>
          <w:lang w:val="en-US" w:eastAsia="zh-CN"/>
        </w:rPr>
        <w:t>非遗进校园</w:t>
      </w:r>
      <w:r>
        <w:tab/>
      </w:r>
      <w:r>
        <w:fldChar w:fldCharType="begin"/>
      </w:r>
      <w:r>
        <w:instrText xml:space="preserve"> PAGEREF _Toc3046 \h </w:instrText>
      </w:r>
      <w:r>
        <w:fldChar w:fldCharType="separate"/>
      </w:r>
      <w:r>
        <w:t>25</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_Toc3578 </w:instrText>
      </w:r>
      <w:r>
        <w:rPr>
          <w:rFonts w:hint="eastAsia" w:ascii="华文楷体" w:hAnsi="华文楷体" w:eastAsia="华文楷体" w:cs="华文楷体"/>
          <w:szCs w:val="30"/>
          <w:lang w:val="en-US" w:eastAsia="zh-CN"/>
        </w:rPr>
        <w:fldChar w:fldCharType="separate"/>
      </w:r>
      <w:r>
        <w:rPr>
          <w:rFonts w:hint="eastAsia"/>
          <w:lang w:val="en-US" w:eastAsia="zh-CN"/>
        </w:rPr>
        <w:t>案例8：庐山西海艺校加强校企深度合作</w:t>
      </w:r>
      <w:r>
        <w:tab/>
      </w:r>
      <w:r>
        <w:fldChar w:fldCharType="begin"/>
      </w:r>
      <w:r>
        <w:instrText xml:space="preserve"> PAGEREF _Toc3578 \h </w:instrText>
      </w:r>
      <w:r>
        <w:fldChar w:fldCharType="separate"/>
      </w:r>
      <w:r>
        <w:t>27</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_Toc26113 </w:instrText>
      </w:r>
      <w:r>
        <w:rPr>
          <w:rFonts w:hint="eastAsia" w:ascii="华文楷体" w:hAnsi="华文楷体" w:eastAsia="华文楷体" w:cs="华文楷体"/>
          <w:szCs w:val="30"/>
          <w:lang w:val="en-US" w:eastAsia="zh-CN"/>
        </w:rPr>
        <w:fldChar w:fldCharType="separate"/>
      </w:r>
      <w:r>
        <w:rPr>
          <w:rFonts w:hint="eastAsia"/>
          <w:lang w:val="en-US" w:eastAsia="zh-CN"/>
        </w:rPr>
        <w:t>案例9：修水中专培养模具技术人才，助力县域经济发展</w:t>
      </w:r>
      <w:r>
        <w:tab/>
      </w:r>
      <w:r>
        <w:fldChar w:fldCharType="begin"/>
      </w:r>
      <w:r>
        <w:instrText xml:space="preserve"> PAGEREF _Toc26113 \h </w:instrText>
      </w:r>
      <w:r>
        <w:fldChar w:fldCharType="separate"/>
      </w:r>
      <w:r>
        <w:t>28</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_Toc21910 </w:instrText>
      </w:r>
      <w:r>
        <w:rPr>
          <w:rFonts w:hint="eastAsia" w:ascii="华文楷体" w:hAnsi="华文楷体" w:eastAsia="华文楷体" w:cs="华文楷体"/>
          <w:szCs w:val="30"/>
          <w:lang w:val="en-US" w:eastAsia="zh-CN"/>
        </w:rPr>
        <w:fldChar w:fldCharType="separate"/>
      </w:r>
      <w:r>
        <w:rPr>
          <w:rFonts w:hint="eastAsia"/>
          <w:lang w:val="en-US" w:eastAsia="zh-CN"/>
        </w:rPr>
        <w:t>案例10：九江科技中专1+X职业技能等级证书制度试点</w:t>
      </w:r>
      <w:r>
        <w:tab/>
      </w:r>
      <w:r>
        <w:fldChar w:fldCharType="begin"/>
      </w:r>
      <w:r>
        <w:instrText xml:space="preserve"> PAGEREF _Toc21910 \h </w:instrText>
      </w:r>
      <w:r>
        <w:fldChar w:fldCharType="separate"/>
      </w:r>
      <w:r>
        <w:t>29</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_Toc10376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11</w:t>
      </w:r>
      <w:r>
        <w:rPr>
          <w:rFonts w:hint="default"/>
          <w:lang w:val="en-US" w:eastAsia="zh-CN"/>
        </w:rPr>
        <w:t>：九江市理工职业技术学校</w:t>
      </w:r>
      <w:r>
        <w:rPr>
          <w:rFonts w:hint="eastAsia"/>
          <w:lang w:val="en-US" w:eastAsia="zh-CN"/>
        </w:rPr>
        <w:t>开展</w:t>
      </w:r>
      <w:r>
        <w:rPr>
          <w:rFonts w:hint="default"/>
          <w:lang w:val="en-US" w:eastAsia="zh-CN"/>
        </w:rPr>
        <w:t>主题教育活动</w:t>
      </w:r>
      <w:r>
        <w:tab/>
      </w:r>
      <w:r>
        <w:fldChar w:fldCharType="begin"/>
      </w:r>
      <w:r>
        <w:instrText xml:space="preserve"> PAGEREF _Toc10376 \h </w:instrText>
      </w:r>
      <w:r>
        <w:fldChar w:fldCharType="separate"/>
      </w:r>
      <w:r>
        <w:t>32</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jc w:val="center"/>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br w:type="page"/>
      </w:r>
    </w:p>
    <w:p>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表 目 录</w:t>
      </w:r>
    </w:p>
    <w:p>
      <w:pPr>
        <w:rPr>
          <w:rFonts w:hint="eastAsia"/>
          <w:lang w:val="en-US" w:eastAsia="zh-CN"/>
        </w:rPr>
      </w:pPr>
    </w:p>
    <w:p>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\t "年报表格,1,标题 1,8" \h</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_Toc15663 </w:instrText>
      </w:r>
      <w:r>
        <w:rPr>
          <w:rFonts w:hint="eastAsia" w:ascii="华文楷体" w:hAnsi="华文楷体" w:eastAsia="华文楷体" w:cs="华文楷体"/>
          <w:szCs w:val="30"/>
          <w:lang w:val="en-US" w:eastAsia="zh-CN"/>
        </w:rPr>
        <w:fldChar w:fldCharType="separate"/>
      </w:r>
      <w:r>
        <w:rPr>
          <w:rFonts w:hint="default"/>
          <w:lang w:val="en-US" w:eastAsia="zh-CN"/>
        </w:rPr>
        <w:t>表1：九江市202</w:t>
      </w:r>
      <w:r>
        <w:rPr>
          <w:rFonts w:hint="eastAsia"/>
          <w:lang w:val="en-US" w:eastAsia="zh-CN"/>
        </w:rPr>
        <w:t>3</w:t>
      </w:r>
      <w:r>
        <w:rPr>
          <w:rFonts w:hint="default"/>
          <w:lang w:val="en-US" w:eastAsia="zh-CN"/>
        </w:rPr>
        <w:t>年具有招生资质中等职业学校名单</w:t>
      </w:r>
      <w:r>
        <w:tab/>
      </w:r>
      <w:r>
        <w:fldChar w:fldCharType="begin"/>
      </w:r>
      <w:r>
        <w:instrText xml:space="preserve"> PAGEREF _Toc15663 \h </w:instrText>
      </w:r>
      <w:r>
        <w:fldChar w:fldCharType="separate"/>
      </w:r>
      <w:r>
        <w:t>2</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_Toc28160 </w:instrText>
      </w:r>
      <w:r>
        <w:rPr>
          <w:rFonts w:hint="eastAsia" w:ascii="华文楷体" w:hAnsi="华文楷体" w:eastAsia="华文楷体" w:cs="华文楷体"/>
          <w:szCs w:val="30"/>
          <w:lang w:val="en-US" w:eastAsia="zh-CN"/>
        </w:rPr>
        <w:fldChar w:fldCharType="separate"/>
      </w:r>
      <w:r>
        <w:rPr>
          <w:rFonts w:hint="default"/>
          <w:lang w:val="en-US" w:eastAsia="zh-CN"/>
        </w:rPr>
        <w:t>表2：全市各类学校中职阶段教育在校生情况一览表</w:t>
      </w:r>
      <w:r>
        <w:tab/>
      </w:r>
      <w:r>
        <w:fldChar w:fldCharType="begin"/>
      </w:r>
      <w:r>
        <w:instrText xml:space="preserve"> PAGEREF _Toc28160 \h </w:instrText>
      </w:r>
      <w:r>
        <w:fldChar w:fldCharType="separate"/>
      </w:r>
      <w:r>
        <w:t>3</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_Toc25187 </w:instrText>
      </w:r>
      <w:r>
        <w:rPr>
          <w:rFonts w:hint="eastAsia" w:ascii="华文楷体" w:hAnsi="华文楷体" w:eastAsia="华文楷体" w:cs="华文楷体"/>
          <w:szCs w:val="30"/>
          <w:lang w:val="en-US" w:eastAsia="zh-CN"/>
        </w:rPr>
        <w:fldChar w:fldCharType="separate"/>
      </w:r>
      <w:r>
        <w:rPr>
          <w:rFonts w:hint="eastAsia"/>
          <w:lang w:val="en-US" w:eastAsia="zh-CN"/>
        </w:rPr>
        <w:t>表3：中等职业教育在校生历年规模统计表</w:t>
      </w:r>
      <w:r>
        <w:tab/>
      </w:r>
      <w:r>
        <w:fldChar w:fldCharType="begin"/>
      </w:r>
      <w:r>
        <w:instrText xml:space="preserve"> PAGEREF _Toc25187 \h </w:instrText>
      </w:r>
      <w:r>
        <w:fldChar w:fldCharType="separate"/>
      </w:r>
      <w:r>
        <w:t>4</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_Toc25318 </w:instrText>
      </w:r>
      <w:r>
        <w:rPr>
          <w:rFonts w:hint="eastAsia" w:ascii="华文楷体" w:hAnsi="华文楷体" w:eastAsia="华文楷体" w:cs="华文楷体"/>
          <w:szCs w:val="30"/>
          <w:lang w:val="en-US" w:eastAsia="zh-CN"/>
        </w:rPr>
        <w:fldChar w:fldCharType="separate"/>
      </w:r>
      <w:r>
        <w:rPr>
          <w:rFonts w:hint="eastAsia"/>
          <w:lang w:val="en-US" w:eastAsia="zh-CN"/>
        </w:rPr>
        <w:t>表4：2023年九江市中职教育招生专业一览表</w:t>
      </w:r>
      <w:r>
        <w:tab/>
      </w:r>
      <w:r>
        <w:fldChar w:fldCharType="begin"/>
      </w:r>
      <w:r>
        <w:instrText xml:space="preserve"> PAGEREF _Toc25318 \h </w:instrText>
      </w:r>
      <w:r>
        <w:fldChar w:fldCharType="separate"/>
      </w:r>
      <w:r>
        <w:t>6</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_Toc12746 </w:instrText>
      </w:r>
      <w:r>
        <w:rPr>
          <w:rFonts w:hint="eastAsia" w:ascii="华文楷体" w:hAnsi="华文楷体" w:eastAsia="华文楷体" w:cs="华文楷体"/>
          <w:szCs w:val="30"/>
          <w:lang w:val="en-US" w:eastAsia="zh-CN"/>
        </w:rPr>
        <w:fldChar w:fldCharType="separate"/>
      </w:r>
      <w:r>
        <w:rPr>
          <w:rFonts w:hint="eastAsia"/>
          <w:lang w:val="en-US" w:eastAsia="zh-CN"/>
        </w:rPr>
        <w:t>表5：满意度调查（综合）一览表</w:t>
      </w:r>
      <w:r>
        <w:tab/>
      </w:r>
      <w:r>
        <w:fldChar w:fldCharType="begin"/>
      </w:r>
      <w:r>
        <w:instrText xml:space="preserve"> PAGEREF _Toc12746 \h </w:instrText>
      </w:r>
      <w:r>
        <w:fldChar w:fldCharType="separate"/>
      </w:r>
      <w:r>
        <w:t>12</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_Toc22406 </w:instrText>
      </w:r>
      <w:r>
        <w:rPr>
          <w:rFonts w:hint="eastAsia" w:ascii="华文楷体" w:hAnsi="华文楷体" w:eastAsia="华文楷体" w:cs="华文楷体"/>
          <w:szCs w:val="30"/>
          <w:lang w:val="en-US" w:eastAsia="zh-CN"/>
        </w:rPr>
        <w:fldChar w:fldCharType="separate"/>
      </w:r>
      <w:r>
        <w:rPr>
          <w:rFonts w:hint="default"/>
          <w:lang w:val="en-US" w:eastAsia="zh-CN"/>
        </w:rPr>
        <w:t>表</w:t>
      </w:r>
      <w:r>
        <w:rPr>
          <w:rFonts w:hint="eastAsia"/>
          <w:lang w:val="en-US" w:eastAsia="zh-CN"/>
        </w:rPr>
        <w:t>6</w:t>
      </w:r>
      <w:r>
        <w:rPr>
          <w:rFonts w:hint="default"/>
          <w:lang w:val="en-US" w:eastAsia="zh-CN"/>
        </w:rPr>
        <w:t>：</w:t>
      </w:r>
      <w:r>
        <w:rPr>
          <w:rFonts w:hint="eastAsia"/>
          <w:lang w:val="en-US" w:eastAsia="zh-CN"/>
        </w:rPr>
        <w:t>中职毕业生</w:t>
      </w:r>
      <w:r>
        <w:rPr>
          <w:rFonts w:hint="default"/>
          <w:lang w:val="en-US" w:eastAsia="zh-CN"/>
        </w:rPr>
        <w:t>历年就业情况统计表</w:t>
      </w:r>
      <w:r>
        <w:tab/>
      </w:r>
      <w:r>
        <w:fldChar w:fldCharType="begin"/>
      </w:r>
      <w:r>
        <w:instrText xml:space="preserve"> PAGEREF _Toc22406 \h </w:instrText>
      </w:r>
      <w:r>
        <w:fldChar w:fldCharType="separate"/>
      </w:r>
      <w:r>
        <w:t>13</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_Toc25609 </w:instrText>
      </w:r>
      <w:r>
        <w:rPr>
          <w:rFonts w:hint="eastAsia" w:ascii="华文楷体" w:hAnsi="华文楷体" w:eastAsia="华文楷体" w:cs="华文楷体"/>
          <w:szCs w:val="30"/>
          <w:lang w:val="en-US" w:eastAsia="zh-CN"/>
        </w:rPr>
        <w:fldChar w:fldCharType="separate"/>
      </w:r>
      <w:r>
        <w:rPr>
          <w:rFonts w:hint="eastAsia"/>
          <w:lang w:val="en-US" w:eastAsia="zh-CN"/>
        </w:rPr>
        <w:t>表7：中职毕业生历年升学情况统计表</w:t>
      </w:r>
      <w:r>
        <w:tab/>
      </w:r>
      <w:r>
        <w:fldChar w:fldCharType="begin"/>
      </w:r>
      <w:r>
        <w:instrText xml:space="preserve"> PAGEREF _Toc25609 \h </w:instrText>
      </w:r>
      <w:r>
        <w:fldChar w:fldCharType="separate"/>
      </w:r>
      <w:r>
        <w:t>15</w:t>
      </w:r>
      <w:r>
        <w:fldChar w:fldCharType="end"/>
      </w:r>
      <w:r>
        <w:rPr>
          <w:rFonts w:hint="eastAsia" w:ascii="华文楷体" w:hAnsi="华文楷体" w:eastAsia="华文楷体" w:cs="华文楷体"/>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br w:type="page"/>
      </w:r>
    </w:p>
    <w:p>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图 目 录</w:t>
      </w:r>
    </w:p>
    <w:p>
      <w:pPr>
        <w:rPr>
          <w:rFonts w:hint="eastAsia"/>
          <w:lang w:val="en-US" w:eastAsia="zh-CN"/>
        </w:rPr>
      </w:pPr>
    </w:p>
    <w:p>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\t "年报图片,1,标题 1,8" \h</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_Toc19696 </w:instrText>
      </w:r>
      <w:r>
        <w:rPr>
          <w:rFonts w:hint="eastAsia" w:ascii="华文楷体" w:hAnsi="华文楷体" w:eastAsia="华文楷体" w:cs="华文楷体"/>
          <w:szCs w:val="30"/>
          <w:lang w:val="en-US" w:eastAsia="zh-CN"/>
        </w:rPr>
        <w:fldChar w:fldCharType="separate"/>
      </w:r>
      <w:r>
        <w:rPr>
          <w:rFonts w:hint="eastAsia"/>
          <w:lang w:val="en-US" w:eastAsia="zh-CN"/>
        </w:rPr>
        <w:t>图1：</w:t>
      </w:r>
      <w:r>
        <w:rPr>
          <w:rFonts w:hint="default"/>
          <w:lang w:val="en-US" w:eastAsia="zh-CN"/>
        </w:rPr>
        <w:t>赣北电子工业学校</w:t>
      </w:r>
      <w:r>
        <w:rPr>
          <w:rFonts w:hint="eastAsia"/>
          <w:lang w:val="en-US" w:eastAsia="zh-CN"/>
        </w:rPr>
        <w:t>新团员参加入团仪式</w:t>
      </w:r>
      <w:r>
        <w:tab/>
      </w:r>
      <w:r>
        <w:fldChar w:fldCharType="begin"/>
      </w:r>
      <w:r>
        <w:instrText xml:space="preserve"> PAGEREF _Toc19696 \h </w:instrText>
      </w:r>
      <w:r>
        <w:fldChar w:fldCharType="separate"/>
      </w:r>
      <w:r>
        <w:t>10</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_Toc15950 </w:instrText>
      </w:r>
      <w:r>
        <w:rPr>
          <w:rFonts w:hint="eastAsia" w:ascii="华文楷体" w:hAnsi="华文楷体" w:eastAsia="华文楷体" w:cs="华文楷体"/>
          <w:szCs w:val="30"/>
          <w:lang w:val="en-US" w:eastAsia="zh-CN"/>
        </w:rPr>
        <w:fldChar w:fldCharType="separate"/>
      </w:r>
      <w:r>
        <w:rPr>
          <w:rFonts w:hint="eastAsia"/>
          <w:lang w:val="en-US" w:eastAsia="zh-CN"/>
        </w:rPr>
        <w:t>图2：九江市卫生学校的学生跳蚤市场</w:t>
      </w:r>
      <w:r>
        <w:tab/>
      </w:r>
      <w:r>
        <w:fldChar w:fldCharType="begin"/>
      </w:r>
      <w:r>
        <w:instrText xml:space="preserve"> PAGEREF _Toc15950 \h </w:instrText>
      </w:r>
      <w:r>
        <w:fldChar w:fldCharType="separate"/>
      </w:r>
      <w:r>
        <w:t>11</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_Toc27075 </w:instrText>
      </w:r>
      <w:r>
        <w:rPr>
          <w:rFonts w:hint="eastAsia" w:ascii="华文楷体" w:hAnsi="华文楷体" w:eastAsia="华文楷体" w:cs="华文楷体"/>
          <w:szCs w:val="30"/>
          <w:lang w:val="en-US" w:eastAsia="zh-CN"/>
        </w:rPr>
        <w:fldChar w:fldCharType="separate"/>
      </w:r>
      <w:r>
        <w:rPr>
          <w:rFonts w:hint="eastAsia"/>
          <w:lang w:val="en-US" w:eastAsia="zh-CN"/>
        </w:rPr>
        <w:t>图3：都昌中专组织汽车类专业技能展示</w:t>
      </w:r>
      <w:r>
        <w:tab/>
      </w:r>
      <w:r>
        <w:fldChar w:fldCharType="begin"/>
      </w:r>
      <w:r>
        <w:instrText xml:space="preserve"> PAGEREF _Toc27075 \h </w:instrText>
      </w:r>
      <w:r>
        <w:fldChar w:fldCharType="separate"/>
      </w:r>
      <w:r>
        <w:t>11</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_Toc32484 </w:instrText>
      </w:r>
      <w:r>
        <w:rPr>
          <w:rFonts w:hint="eastAsia" w:ascii="华文楷体" w:hAnsi="华文楷体" w:eastAsia="华文楷体" w:cs="华文楷体"/>
          <w:szCs w:val="30"/>
          <w:lang w:val="en-US" w:eastAsia="zh-CN"/>
        </w:rPr>
        <w:fldChar w:fldCharType="separate"/>
      </w:r>
      <w:r>
        <w:rPr>
          <w:rFonts w:hint="eastAsia"/>
          <w:lang w:val="en-US" w:eastAsia="zh-CN"/>
        </w:rPr>
        <w:t>图4：2023届中职毕业生面向三次产业就业人数比例</w:t>
      </w:r>
      <w:r>
        <w:tab/>
      </w:r>
      <w:r>
        <w:fldChar w:fldCharType="begin"/>
      </w:r>
      <w:r>
        <w:instrText xml:space="preserve"> PAGEREF _Toc32484 \h </w:instrText>
      </w:r>
      <w:r>
        <w:fldChar w:fldCharType="separate"/>
      </w:r>
      <w:r>
        <w:t>14</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_Toc30320 </w:instrText>
      </w:r>
      <w:r>
        <w:rPr>
          <w:rFonts w:hint="eastAsia" w:ascii="华文楷体" w:hAnsi="华文楷体" w:eastAsia="华文楷体" w:cs="华文楷体"/>
          <w:szCs w:val="30"/>
          <w:lang w:val="en-US" w:eastAsia="zh-CN"/>
        </w:rPr>
        <w:fldChar w:fldCharType="separate"/>
      </w:r>
      <w:r>
        <w:rPr>
          <w:rFonts w:hint="eastAsia"/>
          <w:lang w:val="en-US" w:eastAsia="zh-CN"/>
        </w:rPr>
        <w:t>图5：彭泽中专学生获得全国技能大赛一等奖</w:t>
      </w:r>
      <w:r>
        <w:tab/>
      </w:r>
      <w:r>
        <w:fldChar w:fldCharType="begin"/>
      </w:r>
      <w:r>
        <w:instrText xml:space="preserve"> PAGEREF _Toc30320 \h </w:instrText>
      </w:r>
      <w:r>
        <w:fldChar w:fldCharType="separate"/>
      </w:r>
      <w:r>
        <w:t>16</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_Toc12977 </w:instrText>
      </w:r>
      <w:r>
        <w:rPr>
          <w:rFonts w:hint="eastAsia" w:ascii="华文楷体" w:hAnsi="华文楷体" w:eastAsia="华文楷体" w:cs="华文楷体"/>
          <w:szCs w:val="30"/>
          <w:lang w:val="en-US" w:eastAsia="zh-CN"/>
        </w:rPr>
        <w:fldChar w:fldCharType="separate"/>
      </w:r>
      <w:r>
        <w:rPr>
          <w:rFonts w:hint="eastAsia"/>
          <w:lang w:val="en-US" w:eastAsia="zh-CN"/>
        </w:rPr>
        <w:t>图6：彭泽中专组织学生到棉船镇幸福家院进行志愿服务</w:t>
      </w:r>
      <w:r>
        <w:tab/>
      </w:r>
      <w:r>
        <w:fldChar w:fldCharType="begin"/>
      </w:r>
      <w:r>
        <w:instrText xml:space="preserve"> PAGEREF _Toc12977 \h </w:instrText>
      </w:r>
      <w:r>
        <w:fldChar w:fldCharType="separate"/>
      </w:r>
      <w:r>
        <w:t>20</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_Toc32302 </w:instrText>
      </w:r>
      <w:r>
        <w:rPr>
          <w:rFonts w:hint="eastAsia" w:ascii="华文楷体" w:hAnsi="华文楷体" w:eastAsia="华文楷体" w:cs="华文楷体"/>
          <w:szCs w:val="30"/>
          <w:lang w:val="en-US" w:eastAsia="zh-CN"/>
        </w:rPr>
        <w:fldChar w:fldCharType="separate"/>
      </w:r>
      <w:r>
        <w:rPr>
          <w:rFonts w:hint="eastAsia"/>
          <w:lang w:val="en-US" w:eastAsia="zh-CN"/>
        </w:rPr>
        <w:t>图7：九江市卫生学校组织志愿者进入永安乡志愿服务</w:t>
      </w:r>
      <w:r>
        <w:tab/>
      </w:r>
      <w:r>
        <w:fldChar w:fldCharType="begin"/>
      </w:r>
      <w:r>
        <w:instrText xml:space="preserve"> PAGEREF _Toc32302 \h </w:instrText>
      </w:r>
      <w:r>
        <w:fldChar w:fldCharType="separate"/>
      </w:r>
      <w:r>
        <w:t>20</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_Toc8234 </w:instrText>
      </w:r>
      <w:r>
        <w:rPr>
          <w:rFonts w:hint="eastAsia" w:ascii="华文楷体" w:hAnsi="华文楷体" w:eastAsia="华文楷体" w:cs="华文楷体"/>
          <w:szCs w:val="30"/>
          <w:lang w:val="en-US" w:eastAsia="zh-CN"/>
        </w:rPr>
        <w:fldChar w:fldCharType="separate"/>
      </w:r>
      <w:r>
        <w:rPr>
          <w:rFonts w:hint="eastAsia"/>
          <w:lang w:val="en-US" w:eastAsia="zh-CN"/>
        </w:rPr>
        <w:t>图8：德安中专思政大课堂</w:t>
      </w:r>
      <w:r>
        <w:tab/>
      </w:r>
      <w:r>
        <w:fldChar w:fldCharType="begin"/>
      </w:r>
      <w:r>
        <w:instrText xml:space="preserve"> PAGEREF _Toc8234 \h </w:instrText>
      </w:r>
      <w:r>
        <w:fldChar w:fldCharType="separate"/>
      </w:r>
      <w:r>
        <w:t>21</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_Toc23889 </w:instrText>
      </w:r>
      <w:r>
        <w:rPr>
          <w:rFonts w:hint="eastAsia" w:ascii="华文楷体" w:hAnsi="华文楷体" w:eastAsia="华文楷体" w:cs="华文楷体"/>
          <w:szCs w:val="30"/>
          <w:lang w:val="en-US" w:eastAsia="zh-CN"/>
        </w:rPr>
        <w:fldChar w:fldCharType="separate"/>
      </w:r>
      <w:r>
        <w:rPr>
          <w:rFonts w:hint="eastAsia"/>
          <w:lang w:val="en-US" w:eastAsia="zh-CN"/>
        </w:rPr>
        <w:t>图9：彭泽中专国旗护卫队</w:t>
      </w:r>
      <w:r>
        <w:tab/>
      </w:r>
      <w:r>
        <w:fldChar w:fldCharType="begin"/>
      </w:r>
      <w:r>
        <w:instrText xml:space="preserve"> PAGEREF _Toc23889 \h </w:instrText>
      </w:r>
      <w:r>
        <w:fldChar w:fldCharType="separate"/>
      </w:r>
      <w:r>
        <w:t>23</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_Toc27449 </w:instrText>
      </w:r>
      <w:r>
        <w:rPr>
          <w:rFonts w:hint="eastAsia" w:ascii="华文楷体" w:hAnsi="华文楷体" w:eastAsia="华文楷体" w:cs="华文楷体"/>
          <w:szCs w:val="30"/>
          <w:lang w:val="en-US" w:eastAsia="zh-CN"/>
        </w:rPr>
        <w:fldChar w:fldCharType="separate"/>
      </w:r>
      <w:r>
        <w:rPr>
          <w:rFonts w:hint="eastAsia"/>
          <w:lang w:val="en-US" w:eastAsia="zh-CN"/>
        </w:rPr>
        <w:t>图10：瑞昌中专太极功夫兴趣社团</w:t>
      </w:r>
      <w:r>
        <w:tab/>
      </w:r>
      <w:r>
        <w:fldChar w:fldCharType="begin"/>
      </w:r>
      <w:r>
        <w:instrText xml:space="preserve"> PAGEREF _Toc27449 \h </w:instrText>
      </w:r>
      <w:r>
        <w:fldChar w:fldCharType="separate"/>
      </w:r>
      <w:r>
        <w:t>24</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_Toc9565 </w:instrText>
      </w:r>
      <w:r>
        <w:rPr>
          <w:rFonts w:hint="eastAsia" w:ascii="华文楷体" w:hAnsi="华文楷体" w:eastAsia="华文楷体" w:cs="华文楷体"/>
          <w:szCs w:val="30"/>
          <w:lang w:val="en-US" w:eastAsia="zh-CN"/>
        </w:rPr>
        <w:fldChar w:fldCharType="separate"/>
      </w:r>
      <w:r>
        <w:rPr>
          <w:rFonts w:hint="eastAsia"/>
          <w:lang w:val="en-US" w:eastAsia="zh-CN"/>
        </w:rPr>
        <w:t>图11：九江科技中专组织学生参观周敦颐纪念馆</w:t>
      </w:r>
      <w:r>
        <w:tab/>
      </w:r>
      <w:r>
        <w:fldChar w:fldCharType="begin"/>
      </w:r>
      <w:r>
        <w:instrText xml:space="preserve"> PAGEREF _Toc9565 \h </w:instrText>
      </w:r>
      <w:r>
        <w:fldChar w:fldCharType="separate"/>
      </w:r>
      <w:r>
        <w:t>25</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_Toc28559 </w:instrText>
      </w:r>
      <w:r>
        <w:rPr>
          <w:rFonts w:hint="eastAsia" w:ascii="华文楷体" w:hAnsi="华文楷体" w:eastAsia="华文楷体" w:cs="华文楷体"/>
          <w:szCs w:val="30"/>
          <w:lang w:val="en-US" w:eastAsia="zh-CN"/>
        </w:rPr>
        <w:fldChar w:fldCharType="separate"/>
      </w:r>
      <w:r>
        <w:rPr>
          <w:rFonts w:hint="eastAsia"/>
          <w:lang w:val="en-US" w:eastAsia="zh-CN"/>
        </w:rPr>
        <w:t>图12：非遗传承人向都昌中专学生展示都昌鼓书</w:t>
      </w:r>
      <w:r>
        <w:tab/>
      </w:r>
      <w:r>
        <w:fldChar w:fldCharType="begin"/>
      </w:r>
      <w:r>
        <w:instrText xml:space="preserve"> PAGEREF _Toc28559 \h </w:instrText>
      </w:r>
      <w:r>
        <w:fldChar w:fldCharType="separate"/>
      </w:r>
      <w:r>
        <w:t>26</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_Toc31374 </w:instrText>
      </w:r>
      <w:r>
        <w:rPr>
          <w:rFonts w:hint="eastAsia" w:ascii="华文楷体" w:hAnsi="华文楷体" w:eastAsia="华文楷体" w:cs="华文楷体"/>
          <w:szCs w:val="30"/>
          <w:lang w:val="en-US" w:eastAsia="zh-CN"/>
        </w:rPr>
        <w:fldChar w:fldCharType="separate"/>
      </w:r>
      <w:r>
        <w:rPr>
          <w:rFonts w:hint="eastAsia"/>
          <w:lang w:val="en-US" w:eastAsia="zh-CN"/>
        </w:rPr>
        <w:t>图13：九江市卫生学校与武宁人民医院进行实习交流</w:t>
      </w:r>
      <w:r>
        <w:tab/>
      </w:r>
      <w:r>
        <w:fldChar w:fldCharType="begin"/>
      </w:r>
      <w:r>
        <w:instrText xml:space="preserve"> PAGEREF _Toc31374 \h </w:instrText>
      </w:r>
      <w:r>
        <w:fldChar w:fldCharType="separate"/>
      </w:r>
      <w:r>
        <w:t>29</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_Toc25216 </w:instrText>
      </w:r>
      <w:r>
        <w:rPr>
          <w:rFonts w:hint="eastAsia" w:ascii="华文楷体" w:hAnsi="华文楷体" w:eastAsia="华文楷体" w:cs="华文楷体"/>
          <w:szCs w:val="30"/>
          <w:lang w:val="en-US" w:eastAsia="zh-CN"/>
        </w:rPr>
        <w:fldChar w:fldCharType="separate"/>
      </w:r>
      <w:r>
        <w:rPr>
          <w:rFonts w:hint="eastAsia"/>
          <w:lang w:val="en-US" w:eastAsia="zh-CN"/>
        </w:rPr>
        <w:t>图14：都昌中专学生进行专业技能操作</w:t>
      </w:r>
      <w:r>
        <w:tab/>
      </w:r>
      <w:r>
        <w:fldChar w:fldCharType="begin"/>
      </w:r>
      <w:r>
        <w:instrText xml:space="preserve"> PAGEREF _Toc25216 \h </w:instrText>
      </w:r>
      <w:r>
        <w:fldChar w:fldCharType="separate"/>
      </w:r>
      <w:r>
        <w:t>31</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_Toc32461 </w:instrText>
      </w:r>
      <w:r>
        <w:rPr>
          <w:rFonts w:hint="eastAsia" w:ascii="华文楷体" w:hAnsi="华文楷体" w:eastAsia="华文楷体" w:cs="华文楷体"/>
          <w:szCs w:val="30"/>
          <w:lang w:val="en-US" w:eastAsia="zh-CN"/>
        </w:rPr>
        <w:fldChar w:fldCharType="separate"/>
      </w:r>
      <w:r>
        <w:rPr>
          <w:rFonts w:hint="eastAsia"/>
          <w:lang w:val="en-US" w:eastAsia="zh-CN"/>
        </w:rPr>
        <w:t>图15：瑞昌中专幼保专业学生在幼儿园实习</w:t>
      </w:r>
      <w:r>
        <w:tab/>
      </w:r>
      <w:r>
        <w:fldChar w:fldCharType="begin"/>
      </w:r>
      <w:r>
        <w:instrText xml:space="preserve"> PAGEREF _Toc32461 \h </w:instrText>
      </w:r>
      <w:r>
        <w:fldChar w:fldCharType="separate"/>
      </w:r>
      <w:r>
        <w:t>31</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_Toc8363 </w:instrText>
      </w:r>
      <w:r>
        <w:rPr>
          <w:rFonts w:hint="eastAsia" w:ascii="华文楷体" w:hAnsi="华文楷体" w:eastAsia="华文楷体" w:cs="华文楷体"/>
          <w:szCs w:val="30"/>
          <w:lang w:val="en-US" w:eastAsia="zh-CN"/>
        </w:rPr>
        <w:fldChar w:fldCharType="separate"/>
      </w:r>
      <w:r>
        <w:rPr>
          <w:rFonts w:hint="eastAsia"/>
          <w:lang w:val="en-US" w:eastAsia="zh-CN"/>
        </w:rPr>
        <w:t>图16：江西九江科技中等专业学校组织师生到部队送演</w:t>
      </w:r>
      <w:r>
        <w:tab/>
      </w:r>
      <w:r>
        <w:fldChar w:fldCharType="begin"/>
      </w:r>
      <w:r>
        <w:instrText xml:space="preserve"> PAGEREF _Toc8363 \h </w:instrText>
      </w:r>
      <w:r>
        <w:fldChar w:fldCharType="separate"/>
      </w:r>
      <w:r>
        <w:t>33</w:t>
      </w:r>
      <w:r>
        <w:fldChar w:fldCharType="end"/>
      </w:r>
      <w:r>
        <w:rPr>
          <w:rFonts w:hint="eastAsia" w:ascii="华文楷体" w:hAnsi="华文楷体" w:eastAsia="华文楷体" w:cs="华文楷体"/>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br w:type="page"/>
      </w:r>
    </w:p>
    <w:p>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附 表 目 录</w:t>
      </w:r>
    </w:p>
    <w:p>
      <w:pPr>
        <w:rPr>
          <w:rFonts w:hint="eastAsia"/>
          <w:lang w:val="en-US" w:eastAsia="zh-CN"/>
        </w:rPr>
      </w:pPr>
    </w:p>
    <w:p>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\t "年报附表,1,标题 1,5,标题 2,5,标题 3,5" \h</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_Toc22058 </w:instrText>
      </w:r>
      <w:r>
        <w:rPr>
          <w:rFonts w:hint="eastAsia" w:ascii="华文楷体" w:hAnsi="华文楷体" w:eastAsia="华文楷体" w:cs="华文楷体"/>
          <w:szCs w:val="30"/>
          <w:lang w:val="en-US" w:eastAsia="zh-CN"/>
        </w:rPr>
        <w:fldChar w:fldCharType="separate"/>
      </w:r>
      <w:r>
        <w:rPr>
          <w:rFonts w:hint="eastAsia"/>
          <w:lang w:val="en-US" w:eastAsia="zh-CN"/>
        </w:rPr>
        <w:t>附表1：人才培养质量计分卡</w:t>
      </w:r>
      <w:r>
        <w:tab/>
      </w:r>
      <w:r>
        <w:fldChar w:fldCharType="begin"/>
      </w:r>
      <w:r>
        <w:instrText xml:space="preserve"> PAGEREF _Toc22058 \h </w:instrText>
      </w:r>
      <w:r>
        <w:fldChar w:fldCharType="separate"/>
      </w:r>
      <w:r>
        <w:t>37</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_Toc16557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2</w:t>
      </w:r>
      <w:r>
        <w:rPr>
          <w:rFonts w:hint="default"/>
          <w:lang w:val="en-US" w:eastAsia="zh-CN"/>
        </w:rPr>
        <w:t>：满意度调查表</w:t>
      </w:r>
      <w:r>
        <w:tab/>
      </w:r>
      <w:r>
        <w:fldChar w:fldCharType="begin"/>
      </w:r>
      <w:r>
        <w:instrText xml:space="preserve"> PAGEREF _Toc16557 \h </w:instrText>
      </w:r>
      <w:r>
        <w:fldChar w:fldCharType="separate"/>
      </w:r>
      <w:r>
        <w:t>38</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_Toc11163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3</w:t>
      </w:r>
      <w:r>
        <w:rPr>
          <w:rFonts w:hint="default"/>
          <w:lang w:val="en-US" w:eastAsia="zh-CN"/>
        </w:rPr>
        <w:t>：教学资源表</w:t>
      </w:r>
      <w:r>
        <w:tab/>
      </w:r>
      <w:r>
        <w:fldChar w:fldCharType="begin"/>
      </w:r>
      <w:r>
        <w:instrText xml:space="preserve"> PAGEREF _Toc11163 \h </w:instrText>
      </w:r>
      <w:r>
        <w:fldChar w:fldCharType="separate"/>
      </w:r>
      <w:r>
        <w:t>39</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_Toc29982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4</w:t>
      </w:r>
      <w:r>
        <w:rPr>
          <w:rFonts w:hint="default"/>
          <w:lang w:val="en-US" w:eastAsia="zh-CN"/>
        </w:rPr>
        <w:t>：国际影响表</w:t>
      </w:r>
      <w:r>
        <w:tab/>
      </w:r>
      <w:r>
        <w:fldChar w:fldCharType="begin"/>
      </w:r>
      <w:r>
        <w:instrText xml:space="preserve"> PAGEREF _Toc29982 \h </w:instrText>
      </w:r>
      <w:r>
        <w:fldChar w:fldCharType="separate"/>
      </w:r>
      <w:r>
        <w:t>40</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_Toc7330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5</w:t>
      </w:r>
      <w:r>
        <w:rPr>
          <w:rFonts w:hint="default"/>
          <w:lang w:val="en-US" w:eastAsia="zh-CN"/>
        </w:rPr>
        <w:t>：服务贡献表</w:t>
      </w:r>
      <w:r>
        <w:tab/>
      </w:r>
      <w:r>
        <w:fldChar w:fldCharType="begin"/>
      </w:r>
      <w:r>
        <w:instrText xml:space="preserve"> PAGEREF _Toc7330 \h </w:instrText>
      </w:r>
      <w:r>
        <w:fldChar w:fldCharType="separate"/>
      </w:r>
      <w:r>
        <w:t>41</w:t>
      </w:r>
      <w:r>
        <w:fldChar w:fldCharType="end"/>
      </w:r>
      <w:r>
        <w:rPr>
          <w:rFonts w:hint="eastAsia" w:ascii="华文楷体" w:hAnsi="华文楷体" w:eastAsia="华文楷体" w:cs="华文楷体"/>
          <w:szCs w:val="30"/>
          <w:lang w:val="en-US" w:eastAsia="zh-CN"/>
        </w:rPr>
        <w:fldChar w:fldCharType="end"/>
      </w:r>
    </w:p>
    <w:p>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_Toc28961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6</w:t>
      </w:r>
      <w:r>
        <w:rPr>
          <w:rFonts w:hint="default"/>
          <w:lang w:val="en-US" w:eastAsia="zh-CN"/>
        </w:rPr>
        <w:t>：落实政策表</w:t>
      </w:r>
      <w:r>
        <w:tab/>
      </w:r>
      <w:r>
        <w:fldChar w:fldCharType="begin"/>
      </w:r>
      <w:r>
        <w:instrText xml:space="preserve"> PAGEREF _Toc28961 \h </w:instrText>
      </w:r>
      <w:r>
        <w:fldChar w:fldCharType="separate"/>
      </w:r>
      <w:r>
        <w:t>42</w:t>
      </w:r>
      <w:r>
        <w:fldChar w:fldCharType="end"/>
      </w:r>
      <w:r>
        <w:rPr>
          <w:rFonts w:hint="eastAsia" w:ascii="华文楷体" w:hAnsi="华文楷体" w:eastAsia="华文楷体" w:cs="华文楷体"/>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pPr>
        <w:pStyle w:val="16"/>
        <w:bidi w:val="0"/>
        <w:ind w:left="0" w:leftChars="0" w:firstLine="0" w:firstLineChars="0"/>
        <w:jc w:val="center"/>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val="en-US" w:eastAsia="zh-CN"/>
        </w:rPr>
        <w:br w:type="page"/>
      </w:r>
      <w:bookmarkStart w:id="17" w:name="_Toc24804"/>
    </w:p>
    <w:p>
      <w:pPr>
        <w:pStyle w:val="16"/>
        <w:bidi w:val="0"/>
        <w:ind w:left="0" w:leftChars="0" w:firstLine="0" w:firstLineChars="0"/>
        <w:jc w:val="center"/>
        <w:rPr>
          <w:rFonts w:hint="eastAsia"/>
          <w:lang w:val="en-US" w:eastAsia="zh-CN"/>
        </w:rPr>
      </w:pPr>
      <w:r>
        <w:rPr>
          <w:rFonts w:hint="eastAsia" w:ascii="方正小标宋简体" w:hAnsi="方正小标宋简体" w:eastAsia="方正小标宋简体" w:cs="方正小标宋简体"/>
          <w:lang w:val="en-US" w:eastAsia="zh-CN"/>
        </w:rPr>
        <w:t>九江市2023年中等职业教育质量年度报告</w:t>
      </w:r>
    </w:p>
    <w:p>
      <w:pPr>
        <w:pStyle w:val="16"/>
        <w:bidi w:val="0"/>
        <w:rPr>
          <w:rFonts w:hint="eastAsia"/>
          <w:lang w:val="en-US" w:eastAsia="zh-CN"/>
        </w:rPr>
      </w:pPr>
      <w:r>
        <w:rPr>
          <w:rFonts w:hint="eastAsia"/>
          <w:lang w:val="en-US" w:eastAsia="zh-CN"/>
        </w:rPr>
        <w:t>2023年，在市委、市政府的正确领导下，在省教育厅的指导关心下，九江市教育系统深入学习贯彻习近平总书记关于职业教育的一系列重要指示精神，特别是习近平总书记在江西考察时提出的“走在前、勇争先、善作为”的目标要求，认真落实中办、国办在《关于深化现代职业教育体系建设改革的意见》中提出的“一体、两翼、五重点”新阶段职业教育改革的系列重大举措，以落实部省共建、推进职业教育综合改革提质创优为抓手，不断健全保障机制、完善办学体系、改革育人模式，全面提升了职业教育发展能力和服务水平，为我市经济社会发展提供了有力的技术技能人才支撑。</w:t>
      </w:r>
    </w:p>
    <w:p>
      <w:pPr>
        <w:pStyle w:val="15"/>
        <w:numPr>
          <w:ilvl w:val="0"/>
          <w:numId w:val="0"/>
        </w:numPr>
        <w:bidi w:val="0"/>
        <w:ind w:left="0" w:leftChars="0" w:firstLine="640" w:firstLineChars="200"/>
        <w:rPr>
          <w:rFonts w:hint="default"/>
          <w:lang w:val="en-US" w:eastAsia="zh-CN"/>
        </w:rPr>
      </w:pPr>
      <w:bookmarkStart w:id="18" w:name="_Toc28802"/>
      <w:bookmarkStart w:id="19" w:name="_Toc28816"/>
      <w:r>
        <w:rPr>
          <w:rFonts w:hint="eastAsia"/>
          <w:lang w:val="en-US" w:eastAsia="zh-CN"/>
        </w:rPr>
        <w:t>1 基本情况</w:t>
      </w:r>
      <w:bookmarkEnd w:id="18"/>
      <w:bookmarkEnd w:id="19"/>
    </w:p>
    <w:p>
      <w:pPr>
        <w:pStyle w:val="36"/>
        <w:bidi w:val="0"/>
        <w:rPr>
          <w:rFonts w:hint="eastAsia"/>
          <w:lang w:val="en-US" w:eastAsia="zh-CN"/>
        </w:rPr>
      </w:pPr>
      <w:bookmarkStart w:id="20" w:name="_Toc1831"/>
      <w:bookmarkStart w:id="21" w:name="_Toc9232"/>
      <w:r>
        <w:rPr>
          <w:rFonts w:hint="eastAsia"/>
          <w:lang w:val="en-US" w:eastAsia="zh-CN"/>
        </w:rPr>
        <w:t>1.1 规模和结构</w:t>
      </w:r>
      <w:bookmarkEnd w:id="20"/>
      <w:bookmarkEnd w:id="21"/>
    </w:p>
    <w:p>
      <w:pPr>
        <w:pStyle w:val="16"/>
        <w:rPr>
          <w:rFonts w:hint="default"/>
          <w:lang w:val="en-US" w:eastAsia="zh-CN"/>
        </w:rPr>
      </w:pPr>
      <w:r>
        <w:rPr>
          <w:rFonts w:hint="eastAsia"/>
          <w:lang w:val="en-US" w:eastAsia="zh-CN"/>
        </w:rPr>
        <w:t>截至</w:t>
      </w:r>
      <w:r>
        <w:rPr>
          <w:rFonts w:hint="default"/>
          <w:lang w:val="en-US" w:eastAsia="zh-CN"/>
        </w:rPr>
        <w:t>202</w:t>
      </w:r>
      <w:r>
        <w:rPr>
          <w:rFonts w:hint="eastAsia"/>
          <w:lang w:val="en-US" w:eastAsia="zh-CN"/>
        </w:rPr>
        <w:t>3</w:t>
      </w:r>
      <w:r>
        <w:rPr>
          <w:rFonts w:hint="default"/>
          <w:lang w:val="en-US" w:eastAsia="zh-CN"/>
        </w:rPr>
        <w:t>年</w:t>
      </w:r>
      <w:r>
        <w:rPr>
          <w:rFonts w:hint="eastAsia"/>
          <w:lang w:val="en-US" w:eastAsia="zh-CN"/>
        </w:rPr>
        <w:t>12月份</w:t>
      </w:r>
      <w:r>
        <w:rPr>
          <w:rFonts w:hint="default"/>
          <w:lang w:val="en-US" w:eastAsia="zh-CN"/>
        </w:rPr>
        <w:t>，我市教育系统共有招生资格中等职业教育学校</w:t>
      </w:r>
      <w:r>
        <w:rPr>
          <w:rFonts w:hint="eastAsia"/>
          <w:lang w:val="en-US" w:eastAsia="zh-CN"/>
        </w:rPr>
        <w:t>19</w:t>
      </w:r>
      <w:r>
        <w:rPr>
          <w:rFonts w:hint="default"/>
          <w:lang w:val="en-US" w:eastAsia="zh-CN"/>
        </w:rPr>
        <w:t>所（含驻市省管学校1所）。其中公办学校 1</w:t>
      </w:r>
      <w:r>
        <w:rPr>
          <w:rFonts w:hint="eastAsia"/>
          <w:lang w:val="en-US" w:eastAsia="zh-CN"/>
        </w:rPr>
        <w:t>3</w:t>
      </w:r>
      <w:r>
        <w:rPr>
          <w:rFonts w:hint="default"/>
          <w:lang w:val="en-US" w:eastAsia="zh-CN"/>
        </w:rPr>
        <w:t xml:space="preserve"> 所，民办学校 </w:t>
      </w:r>
      <w:r>
        <w:rPr>
          <w:rFonts w:hint="eastAsia"/>
          <w:lang w:val="en-US" w:eastAsia="zh-CN"/>
        </w:rPr>
        <w:t>6</w:t>
      </w:r>
      <w:r>
        <w:rPr>
          <w:rFonts w:hint="default"/>
          <w:lang w:val="en-US" w:eastAsia="zh-CN"/>
        </w:rPr>
        <w:t xml:space="preserve"> 所；A档学校4所，B档学校2所，C档学校10所，C档以下</w:t>
      </w:r>
      <w:r>
        <w:rPr>
          <w:rFonts w:hint="eastAsia"/>
          <w:lang w:val="en-US" w:eastAsia="zh-CN"/>
        </w:rPr>
        <w:t>2</w:t>
      </w:r>
      <w:r>
        <w:rPr>
          <w:rFonts w:hint="default"/>
          <w:lang w:val="en-US" w:eastAsia="zh-CN"/>
        </w:rPr>
        <w:t>所</w:t>
      </w:r>
      <w:r>
        <w:rPr>
          <w:rFonts w:hint="eastAsia"/>
          <w:lang w:val="en-US" w:eastAsia="zh-CN"/>
        </w:rPr>
        <w:t>，新设立学校1所</w:t>
      </w:r>
      <w:r>
        <w:rPr>
          <w:rFonts w:hint="default"/>
          <w:lang w:val="en-US" w:eastAsia="zh-CN"/>
        </w:rPr>
        <w:t>；国家改革发展示范学校3所，省高水平建设立项学校1所，普通中等专业学校9所。</w:t>
      </w:r>
      <w:r>
        <w:rPr>
          <w:rFonts w:hint="eastAsia"/>
          <w:lang w:val="en-US" w:eastAsia="zh-CN"/>
        </w:rPr>
        <w:t>九江市</w:t>
      </w:r>
      <w:r>
        <w:rPr>
          <w:rFonts w:hint="default"/>
          <w:lang w:val="en-US" w:eastAsia="zh-CN"/>
        </w:rPr>
        <w:t>另有技工学校</w:t>
      </w:r>
      <w:r>
        <w:rPr>
          <w:rFonts w:hint="eastAsia"/>
          <w:lang w:val="en-US" w:eastAsia="zh-CN"/>
        </w:rPr>
        <w:t>16</w:t>
      </w:r>
      <w:r>
        <w:rPr>
          <w:rFonts w:hint="default"/>
          <w:lang w:val="en-US" w:eastAsia="zh-CN"/>
        </w:rPr>
        <w:t>所</w:t>
      </w:r>
      <w:r>
        <w:rPr>
          <w:rFonts w:hint="eastAsia"/>
          <w:lang w:val="en-US" w:eastAsia="zh-CN"/>
        </w:rPr>
        <w:t>、</w:t>
      </w:r>
      <w:r>
        <w:rPr>
          <w:rFonts w:hint="default"/>
          <w:lang w:val="en-US" w:eastAsia="zh-CN"/>
        </w:rPr>
        <w:t>举办面向初中毕业生招生</w:t>
      </w:r>
      <w:r>
        <w:rPr>
          <w:rFonts w:hint="eastAsia"/>
          <w:lang w:val="en-US" w:eastAsia="zh-CN"/>
        </w:rPr>
        <w:t>的</w:t>
      </w:r>
      <w:r>
        <w:rPr>
          <w:rFonts w:hint="default"/>
          <w:lang w:val="en-US" w:eastAsia="zh-CN"/>
        </w:rPr>
        <w:t>长学制高职院校5所。</w:t>
      </w:r>
    </w:p>
    <w:p>
      <w:pPr>
        <w:pStyle w:val="16"/>
        <w:rPr>
          <w:rFonts w:hint="default"/>
          <w:lang w:val="en-US" w:eastAsia="zh-CN"/>
        </w:rPr>
      </w:pPr>
    </w:p>
    <w:p>
      <w:pPr>
        <w:pStyle w:val="38"/>
        <w:bidi w:val="0"/>
        <w:rPr>
          <w:rFonts w:hint="default"/>
          <w:lang w:val="en-US" w:eastAsia="zh-CN"/>
        </w:rPr>
      </w:pPr>
      <w:bookmarkStart w:id="22" w:name="_Toc15663"/>
      <w:r>
        <w:rPr>
          <w:rFonts w:hint="default"/>
          <w:lang w:val="en-US" w:eastAsia="zh-CN"/>
        </w:rPr>
        <w:t>表1：九江市202</w:t>
      </w:r>
      <w:r>
        <w:rPr>
          <w:rFonts w:hint="eastAsia"/>
          <w:lang w:val="en-US" w:eastAsia="zh-CN"/>
        </w:rPr>
        <w:t>3</w:t>
      </w:r>
      <w:r>
        <w:rPr>
          <w:rFonts w:hint="default"/>
          <w:lang w:val="en-US" w:eastAsia="zh-CN"/>
        </w:rPr>
        <w:t>年具有招生资质中等职业学校名单</w:t>
      </w:r>
      <w:bookmarkEnd w:id="22"/>
    </w:p>
    <w:tbl>
      <w:tblPr>
        <w:tblStyle w:val="13"/>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6"/>
        <w:gridCol w:w="2961"/>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614" w:hRule="atLeast"/>
          <w:jc w:val="center"/>
        </w:trPr>
        <w:tc>
          <w:tcPr>
            <w:tcW w:w="786" w:type="dxa"/>
            <w:tcBorders>
              <w:top w:val="nil"/>
              <w:left w:val="nil"/>
              <w:bottom w:val="single" w:color="FFFFFF" w:sz="12" w:space="0"/>
              <w:right w:val="single" w:color="FFFFFF" w:sz="4" w:space="0"/>
            </w:tcBorders>
            <w:shd w:val="clear" w:color="4874CB" w:fill="4874CB"/>
            <w:vAlign w:val="center"/>
          </w:tcPr>
          <w:p>
            <w:pPr>
              <w:keepNext w:val="0"/>
              <w:keepLines w:val="0"/>
              <w:widowControl/>
              <w:suppressLineNumbers w:val="0"/>
              <w:ind w:left="0" w:leftChars="0" w:firstLine="0" w:firstLineChars="0"/>
              <w:jc w:val="center"/>
              <w:textAlignment w:val="center"/>
              <w:rPr>
                <w:rFonts w:ascii="仿宋_GB2312" w:hAnsi="宋体" w:eastAsia="仿宋_GB2312" w:cs="仿宋_GB2312"/>
                <w:b/>
                <w:bCs/>
                <w:i w:val="0"/>
                <w:iCs w:val="0"/>
                <w:color w:val="FFFFFF"/>
                <w:sz w:val="21"/>
                <w:szCs w:val="21"/>
                <w:u w:val="none"/>
              </w:rPr>
            </w:pPr>
            <w:r>
              <w:rPr>
                <w:rFonts w:hint="eastAsia" w:ascii="仿宋_GB2312" w:hAnsi="宋体" w:eastAsia="仿宋_GB2312" w:cs="仿宋_GB2312"/>
                <w:b/>
                <w:bCs/>
                <w:i w:val="0"/>
                <w:iCs w:val="0"/>
                <w:color w:val="FFFFFF"/>
                <w:kern w:val="0"/>
                <w:sz w:val="21"/>
                <w:szCs w:val="21"/>
                <w:u w:val="none"/>
                <w:lang w:val="en-US" w:eastAsia="zh-CN" w:bidi="ar"/>
              </w:rPr>
              <w:t>序号</w:t>
            </w:r>
          </w:p>
        </w:tc>
        <w:tc>
          <w:tcPr>
            <w:tcW w:w="2961"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FFFFFF"/>
                <w:sz w:val="21"/>
                <w:szCs w:val="21"/>
                <w:u w:val="none"/>
              </w:rPr>
            </w:pPr>
            <w:r>
              <w:rPr>
                <w:rFonts w:hint="eastAsia" w:ascii="仿宋_GB2312" w:hAnsi="宋体" w:eastAsia="仿宋_GB2312" w:cs="仿宋_GB2312"/>
                <w:b/>
                <w:bCs/>
                <w:i w:val="0"/>
                <w:iCs w:val="0"/>
                <w:color w:val="FFFFFF"/>
                <w:kern w:val="0"/>
                <w:sz w:val="21"/>
                <w:szCs w:val="21"/>
                <w:u w:val="none"/>
                <w:lang w:val="en-US" w:eastAsia="zh-CN" w:bidi="ar"/>
              </w:rPr>
              <w:t>学校名称</w:t>
            </w:r>
          </w:p>
        </w:tc>
        <w:tc>
          <w:tcPr>
            <w:tcW w:w="4751" w:type="dxa"/>
            <w:tcBorders>
              <w:top w:val="nil"/>
              <w:left w:val="single" w:color="FFFFFF" w:sz="4" w:space="0"/>
              <w:bottom w:val="single" w:color="FFFFFF" w:sz="12" w:space="0"/>
              <w:right w:val="nil"/>
            </w:tcBorders>
            <w:shd w:val="clear" w:color="4874CB" w:fill="4874CB"/>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FFFFFF"/>
                <w:sz w:val="21"/>
                <w:szCs w:val="21"/>
                <w:u w:val="none"/>
              </w:rPr>
            </w:pPr>
            <w:r>
              <w:rPr>
                <w:rFonts w:hint="eastAsia" w:ascii="仿宋_GB2312" w:hAnsi="宋体" w:eastAsia="仿宋_GB2312" w:cs="仿宋_GB2312"/>
                <w:b/>
                <w:bCs/>
                <w:i w:val="0"/>
                <w:iCs w:val="0"/>
                <w:color w:val="FFFFFF"/>
                <w:kern w:val="0"/>
                <w:sz w:val="21"/>
                <w:szCs w:val="21"/>
                <w:u w:val="none"/>
                <w:lang w:val="en-US" w:eastAsia="zh-CN" w:bidi="ar"/>
              </w:rPr>
              <w:t>学校类别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25" w:hRule="atLeast"/>
          <w:jc w:val="center"/>
        </w:trPr>
        <w:tc>
          <w:tcPr>
            <w:tcW w:w="786" w:type="dxa"/>
            <w:tcBorders>
              <w:top w:val="single" w:color="FFFFFF" w:sz="12"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w:t>
            </w:r>
          </w:p>
        </w:tc>
        <w:tc>
          <w:tcPr>
            <w:tcW w:w="2961"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九江科技中等专业学校</w:t>
            </w:r>
          </w:p>
        </w:tc>
        <w:tc>
          <w:tcPr>
            <w:tcW w:w="4751" w:type="dxa"/>
            <w:tcBorders>
              <w:top w:val="single" w:color="FFFFFF" w:sz="12"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公办学校、国家改革发展示范校、A档学校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修水中等专业学校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公办学校、国家改革发展示范校、A档学校、江西省高水平建设立项单位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3</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江西省通用技术工程学校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公办学校、国家改革发展示范校、A档学校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4</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彭泽县旅游工业中等专业学校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公办学校、A档学校、普通中专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5</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武宁中等专业学校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公办学校、B档学校、普通中专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6</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都昌中等专业学校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公办学校、B档学校、普通中专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7</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九江市卫生学校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公办学校、C档学校、普通中专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8</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瑞昌中等专业学校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公办学校、C档学校、普通中专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9</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永修中等专业学校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公办学校、C档学校、普通中专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10</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德安县中等职业技术学校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11</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湖口县中等职业技术学校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12</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柴桑区中等职业技术学校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13</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江西省庐山旅游职业高级中学</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公办学校、职业高中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14</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九江市理工职业技术学校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15</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九江庐山西海艺术学校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16</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共青中医药学校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17</w:t>
            </w:r>
          </w:p>
        </w:tc>
        <w:tc>
          <w:tcPr>
            <w:tcW w:w="296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九江华东电子信息学校</w:t>
            </w:r>
          </w:p>
        </w:tc>
        <w:tc>
          <w:tcPr>
            <w:tcW w:w="4751"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民办学校、C档学校、职业高中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18</w:t>
            </w:r>
          </w:p>
        </w:tc>
        <w:tc>
          <w:tcPr>
            <w:tcW w:w="296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赣北电子工业学校</w:t>
            </w:r>
          </w:p>
        </w:tc>
        <w:tc>
          <w:tcPr>
            <w:tcW w:w="4751"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民办学校、职业高中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786" w:type="dxa"/>
            <w:tcBorders>
              <w:top w:val="single" w:color="FFFFFF" w:sz="4" w:space="0"/>
              <w:left w:val="nil"/>
              <w:bottom w:val="nil"/>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19</w:t>
            </w:r>
          </w:p>
        </w:tc>
        <w:tc>
          <w:tcPr>
            <w:tcW w:w="2961" w:type="dxa"/>
            <w:tcBorders>
              <w:top w:val="single" w:color="FFFFFF" w:sz="4" w:space="0"/>
              <w:left w:val="single" w:color="FFFFFF" w:sz="4" w:space="0"/>
              <w:bottom w:val="nil"/>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九江市韶华职业高中</w:t>
            </w:r>
          </w:p>
        </w:tc>
        <w:tc>
          <w:tcPr>
            <w:tcW w:w="4751" w:type="dxa"/>
            <w:tcBorders>
              <w:top w:val="single" w:color="FFFFFF" w:sz="4" w:space="0"/>
              <w:left w:val="single" w:color="FFFFFF" w:sz="4" w:space="0"/>
              <w:bottom w:val="nil"/>
              <w:right w:val="nil"/>
            </w:tcBorders>
            <w:shd w:val="clear" w:color="B5C6EA" w:fill="B5C6EA"/>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民办学校、职业高中、2023年新设</w:t>
            </w:r>
          </w:p>
        </w:tc>
      </w:tr>
    </w:tbl>
    <w:p>
      <w:pPr>
        <w:pStyle w:val="16"/>
        <w:bidi w:val="0"/>
        <w:rPr>
          <w:rFonts w:hint="default"/>
          <w:lang w:val="en-US" w:eastAsia="zh-CN"/>
        </w:rPr>
      </w:pPr>
    </w:p>
    <w:p>
      <w:pPr>
        <w:pStyle w:val="16"/>
        <w:bidi w:val="0"/>
        <w:rPr>
          <w:rFonts w:hint="default"/>
          <w:lang w:val="en-US" w:eastAsia="zh-CN"/>
        </w:rPr>
      </w:pPr>
      <w:r>
        <w:rPr>
          <w:rFonts w:hint="default"/>
          <w:lang w:val="en-US" w:eastAsia="zh-CN"/>
        </w:rPr>
        <w:t>截至202</w:t>
      </w:r>
      <w:r>
        <w:rPr>
          <w:rFonts w:hint="eastAsia"/>
          <w:lang w:val="en-US" w:eastAsia="zh-CN"/>
        </w:rPr>
        <w:t>3</w:t>
      </w:r>
      <w:r>
        <w:rPr>
          <w:rFonts w:hint="default"/>
          <w:lang w:val="en-US" w:eastAsia="zh-CN"/>
        </w:rPr>
        <w:t>年底，全市中等职业教育在籍在校生共有</w:t>
      </w:r>
      <w:r>
        <w:rPr>
          <w:rFonts w:hint="eastAsia"/>
          <w:lang w:val="en-US" w:eastAsia="zh-CN"/>
        </w:rPr>
        <w:t>66839</w:t>
      </w:r>
      <w:r>
        <w:rPr>
          <w:rFonts w:hint="default"/>
          <w:lang w:val="en-US" w:eastAsia="zh-CN"/>
        </w:rPr>
        <w:t>人，其中，中等职业学校在校生</w:t>
      </w:r>
      <w:r>
        <w:rPr>
          <w:rFonts w:hint="eastAsia"/>
          <w:lang w:val="en-US" w:eastAsia="zh-CN"/>
        </w:rPr>
        <w:t>40934</w:t>
      </w:r>
      <w:r>
        <w:rPr>
          <w:rFonts w:hint="default"/>
          <w:lang w:val="en-US" w:eastAsia="zh-CN"/>
        </w:rPr>
        <w:t>人，技工学校在校生</w:t>
      </w:r>
      <w:r>
        <w:rPr>
          <w:rFonts w:hint="eastAsia"/>
          <w:lang w:val="en-US" w:eastAsia="zh-CN"/>
        </w:rPr>
        <w:t>20748</w:t>
      </w:r>
      <w:r>
        <w:rPr>
          <w:rFonts w:hint="default"/>
          <w:lang w:val="en-US" w:eastAsia="zh-CN"/>
        </w:rPr>
        <w:t>人，驻市高职院校长学制在校生</w:t>
      </w:r>
      <w:r>
        <w:rPr>
          <w:rFonts w:hint="eastAsia"/>
          <w:lang w:val="en-US" w:eastAsia="zh-CN"/>
        </w:rPr>
        <w:t>5157</w:t>
      </w:r>
      <w:r>
        <w:rPr>
          <w:rFonts w:hint="default"/>
          <w:lang w:val="en-US" w:eastAsia="zh-CN"/>
        </w:rPr>
        <w:t>人。202</w:t>
      </w:r>
      <w:r>
        <w:rPr>
          <w:rFonts w:hint="eastAsia"/>
          <w:lang w:val="en-US" w:eastAsia="zh-CN"/>
        </w:rPr>
        <w:t>3</w:t>
      </w:r>
      <w:r>
        <w:rPr>
          <w:rFonts w:hint="default"/>
          <w:lang w:val="en-US" w:eastAsia="zh-CN"/>
        </w:rPr>
        <w:t>年全市普通高中学生共计122544人，在校生普职比为</w:t>
      </w:r>
      <w:r>
        <w:rPr>
          <w:rFonts w:hint="eastAsia"/>
          <w:lang w:val="en-US" w:eastAsia="zh-CN"/>
        </w:rPr>
        <w:t>65</w:t>
      </w:r>
      <w:r>
        <w:rPr>
          <w:rFonts w:hint="default"/>
          <w:lang w:val="en-US" w:eastAsia="zh-CN"/>
        </w:rPr>
        <w:t>：</w:t>
      </w:r>
      <w:r>
        <w:rPr>
          <w:rFonts w:hint="eastAsia"/>
          <w:lang w:val="en-US" w:eastAsia="zh-CN"/>
        </w:rPr>
        <w:t>35</w:t>
      </w:r>
      <w:r>
        <w:rPr>
          <w:rFonts w:hint="default"/>
          <w:lang w:val="en-US" w:eastAsia="zh-CN"/>
        </w:rPr>
        <w:t>。</w:t>
      </w:r>
    </w:p>
    <w:p>
      <w:pPr>
        <w:pStyle w:val="16"/>
        <w:bidi w:val="0"/>
        <w:rPr>
          <w:rFonts w:hint="default"/>
          <w:lang w:val="en-US" w:eastAsia="zh-CN"/>
        </w:rPr>
      </w:pPr>
    </w:p>
    <w:p>
      <w:pPr>
        <w:pStyle w:val="38"/>
        <w:bidi w:val="0"/>
        <w:rPr>
          <w:rFonts w:hint="default"/>
          <w:lang w:val="en-US" w:eastAsia="zh-CN"/>
        </w:rPr>
      </w:pPr>
      <w:bookmarkStart w:id="23" w:name="_Toc28160"/>
      <w:r>
        <w:rPr>
          <w:rFonts w:hint="default"/>
          <w:lang w:val="en-US" w:eastAsia="zh-CN"/>
        </w:rPr>
        <w:t>表2：全市各类学校中职阶段教育在校生情况一览表</w:t>
      </w:r>
      <w:bookmarkEnd w:id="23"/>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8"/>
        <w:gridCol w:w="2946"/>
        <w:gridCol w:w="1266"/>
        <w:gridCol w:w="1536"/>
        <w:gridCol w:w="1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nil"/>
              <w:left w:val="nil"/>
              <w:bottom w:val="single" w:color="FFFFFF" w:sz="12" w:space="0"/>
              <w:right w:val="single" w:color="FFFFFF" w:sz="4" w:space="0"/>
            </w:tcBorders>
            <w:shd w:val="clear" w:color="4874CB" w:fill="4874CB"/>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序号</w:t>
            </w:r>
          </w:p>
        </w:tc>
        <w:tc>
          <w:tcPr>
            <w:tcW w:w="0" w:type="auto"/>
            <w:tcBorders>
              <w:top w:val="nil"/>
              <w:left w:val="single" w:color="FFFFFF" w:sz="4" w:space="0"/>
              <w:bottom w:val="single" w:color="FFFFFF" w:sz="12" w:space="0"/>
              <w:right w:val="single" w:color="FFFFFF" w:sz="4" w:space="0"/>
            </w:tcBorders>
            <w:shd w:val="clear" w:color="4874CB" w:fill="4874CB"/>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学校</w:t>
            </w:r>
          </w:p>
        </w:tc>
        <w:tc>
          <w:tcPr>
            <w:tcW w:w="0" w:type="auto"/>
            <w:tcBorders>
              <w:top w:val="nil"/>
              <w:left w:val="single" w:color="FFFFFF" w:sz="4" w:space="0"/>
              <w:bottom w:val="single" w:color="FFFFFF" w:sz="12" w:space="0"/>
              <w:right w:val="single" w:color="FFFFFF" w:sz="4" w:space="0"/>
            </w:tcBorders>
            <w:shd w:val="clear" w:color="4874CB" w:fill="4874CB"/>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学校类别</w:t>
            </w:r>
          </w:p>
        </w:tc>
        <w:tc>
          <w:tcPr>
            <w:tcW w:w="0" w:type="auto"/>
            <w:tcBorders>
              <w:top w:val="nil"/>
              <w:left w:val="single" w:color="FFFFFF" w:sz="4" w:space="0"/>
              <w:bottom w:val="single" w:color="FFFFFF" w:sz="12" w:space="0"/>
              <w:right w:val="single" w:color="FFFFFF" w:sz="4" w:space="0"/>
            </w:tcBorders>
            <w:shd w:val="clear" w:color="4874CB" w:fill="4874CB"/>
            <w:noWrap/>
            <w:vAlign w:val="center"/>
          </w:tcPr>
          <w:p>
            <w:pPr>
              <w:jc w:val="center"/>
              <w:rPr>
                <w:rFonts w:hint="default" w:ascii="仿宋_GB2312" w:hAnsi="仿宋_GB2312" w:eastAsia="仿宋_GB2312" w:cs="仿宋_GB2312"/>
                <w:b/>
                <w:bCs/>
                <w:i w:val="0"/>
                <w:iCs w:val="0"/>
                <w:color w:val="FFFFFF"/>
                <w:sz w:val="21"/>
                <w:szCs w:val="21"/>
                <w:u w:val="none"/>
                <w:lang w:val="en-US" w:eastAsia="zh-CN"/>
              </w:rPr>
            </w:pPr>
            <w:r>
              <w:rPr>
                <w:rFonts w:hint="eastAsia" w:ascii="仿宋_GB2312" w:hAnsi="仿宋_GB2312" w:eastAsia="仿宋_GB2312" w:cs="仿宋_GB2312"/>
                <w:b/>
                <w:bCs/>
                <w:i w:val="0"/>
                <w:iCs w:val="0"/>
                <w:color w:val="FFFFFF"/>
                <w:sz w:val="21"/>
                <w:szCs w:val="21"/>
                <w:u w:val="none"/>
                <w:lang w:val="en-US" w:eastAsia="zh-CN"/>
              </w:rPr>
              <w:t>2023年新生数</w:t>
            </w:r>
          </w:p>
        </w:tc>
        <w:tc>
          <w:tcPr>
            <w:tcW w:w="0" w:type="auto"/>
            <w:tcBorders>
              <w:top w:val="nil"/>
              <w:left w:val="single" w:color="FFFFFF" w:sz="4" w:space="0"/>
              <w:bottom w:val="single" w:color="FFFFFF" w:sz="12" w:space="0"/>
              <w:right w:val="nil"/>
            </w:tcBorders>
            <w:shd w:val="clear" w:color="4874CB" w:fill="4874CB"/>
            <w:noWrap/>
            <w:vAlign w:val="center"/>
          </w:tcPr>
          <w:p>
            <w:pPr>
              <w:jc w:val="center"/>
              <w:rPr>
                <w:rFonts w:hint="default" w:ascii="仿宋_GB2312" w:hAnsi="仿宋_GB2312" w:eastAsia="仿宋_GB2312" w:cs="仿宋_GB2312"/>
                <w:b/>
                <w:bCs/>
                <w:i w:val="0"/>
                <w:iCs w:val="0"/>
                <w:color w:val="FFFFFF"/>
                <w:sz w:val="21"/>
                <w:szCs w:val="21"/>
                <w:u w:val="none"/>
                <w:lang w:val="en-US" w:eastAsia="zh-CN"/>
              </w:rPr>
            </w:pPr>
            <w:r>
              <w:rPr>
                <w:rFonts w:hint="eastAsia" w:ascii="仿宋_GB2312" w:hAnsi="仿宋_GB2312" w:eastAsia="仿宋_GB2312" w:cs="仿宋_GB2312"/>
                <w:b/>
                <w:bCs/>
                <w:i w:val="0"/>
                <w:iCs w:val="0"/>
                <w:color w:val="FFFFFF"/>
                <w:sz w:val="21"/>
                <w:szCs w:val="21"/>
                <w:u w:val="none"/>
                <w:lang w:val="en-US" w:eastAsia="zh-CN"/>
              </w:rPr>
              <w:t>在校生数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12"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九江市卫生学校</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924</w:t>
            </w:r>
          </w:p>
        </w:tc>
        <w:tc>
          <w:tcPr>
            <w:tcW w:w="0" w:type="auto"/>
            <w:tcBorders>
              <w:top w:val="single" w:color="FFFFFF" w:sz="12"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华东电子信息学校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赣北电子工业学校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121</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九江远东海事学校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江西九江科技中等专业学校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1556</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九江理工职业技术学校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柴桑区职业技术学校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519</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修水中等专业学校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1827</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武宁中等专业学校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904</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庐山西海艺术学校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291</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瑞昌中等专业学校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912</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都昌中等专业学校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1124</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彭泽县旅游工业中等专业学校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717</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湖口县中等职业技术学校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442</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永修中等专业学校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949</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江西省庐山旅游职业高级中学</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122</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德安县中等职业技术学校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337</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共青中医药学校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江西省通用技术工程学校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1325</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九江市机械技工学校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169</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九江庐山技工学校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107</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九江育龙海事技工学校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九江市轻化工业技工学校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372</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九江市高级技工学校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1099</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江西省通用技工学校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瑞昌市技工学校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修水县高级技工学校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921</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九江市东王技工学校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347</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德安县技工学校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214</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武宁县技工学校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117</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九江市振邦技工学校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614</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九江市华科技工学校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共青铁路工程技工学校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共青技工学校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彭泽县技工学校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676</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九江市星辰技工学校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九江职业大学</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共青科技职业学院</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九江职业技术学院</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江西枫林涉外经贸职业学院</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江西财经职业学院</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FFFFFF" w:sz="4" w:space="0"/>
              <w:left w:val="nil"/>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九江理工职业学院</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高职长学制</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118</w:t>
            </w:r>
          </w:p>
        </w:tc>
        <w:tc>
          <w:tcPr>
            <w:tcW w:w="0" w:type="auto"/>
            <w:tcBorders>
              <w:top w:val="single" w:color="FFFFFF" w:sz="4" w:space="0"/>
              <w:left w:val="single" w:color="FFFFFF" w:sz="4" w:space="0"/>
              <w:bottom w:val="nil"/>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1057</w:t>
            </w:r>
          </w:p>
        </w:tc>
      </w:tr>
    </w:tbl>
    <w:p>
      <w:pPr>
        <w:pStyle w:val="16"/>
        <w:bidi w:val="0"/>
        <w:ind w:left="0" w:leftChars="0" w:firstLine="0" w:firstLineChars="0"/>
        <w:rPr>
          <w:rFonts w:hint="default"/>
          <w:lang w:val="en-US" w:eastAsia="zh-CN"/>
        </w:rPr>
      </w:pPr>
    </w:p>
    <w:p>
      <w:pPr>
        <w:pStyle w:val="16"/>
        <w:rPr>
          <w:rFonts w:hint="default"/>
          <w:lang w:val="en-US" w:eastAsia="zh-CN"/>
        </w:rPr>
      </w:pPr>
      <w:r>
        <w:rPr>
          <w:rFonts w:hint="default"/>
          <w:lang w:val="en-US" w:eastAsia="zh-CN"/>
        </w:rPr>
        <w:t>202</w:t>
      </w:r>
      <w:r>
        <w:rPr>
          <w:rFonts w:hint="eastAsia"/>
          <w:lang w:val="en-US" w:eastAsia="zh-CN"/>
        </w:rPr>
        <w:t>3</w:t>
      </w:r>
      <w:r>
        <w:rPr>
          <w:rFonts w:hint="default"/>
          <w:lang w:val="en-US" w:eastAsia="zh-CN"/>
        </w:rPr>
        <w:t>年</w:t>
      </w:r>
      <w:r>
        <w:rPr>
          <w:rFonts w:hint="eastAsia"/>
          <w:lang w:val="en-US" w:eastAsia="zh-CN"/>
        </w:rPr>
        <w:t>我市</w:t>
      </w:r>
      <w:r>
        <w:rPr>
          <w:rFonts w:hint="default"/>
          <w:lang w:val="en-US" w:eastAsia="zh-CN"/>
        </w:rPr>
        <w:t>职业院校高中段共招生</w:t>
      </w:r>
      <w:r>
        <w:rPr>
          <w:rFonts w:hint="eastAsia"/>
          <w:lang w:val="en-US" w:eastAsia="zh-CN"/>
        </w:rPr>
        <w:t>20586</w:t>
      </w:r>
      <w:r>
        <w:rPr>
          <w:rFonts w:hint="default"/>
          <w:lang w:val="en-US" w:eastAsia="zh-CN"/>
        </w:rPr>
        <w:t>人，其中中职学校招生</w:t>
      </w:r>
      <w:r>
        <w:rPr>
          <w:rFonts w:hint="eastAsia"/>
          <w:lang w:val="en-US" w:eastAsia="zh-CN"/>
        </w:rPr>
        <w:t>14079</w:t>
      </w:r>
      <w:r>
        <w:rPr>
          <w:rFonts w:hint="default"/>
          <w:lang w:val="en-US" w:eastAsia="zh-CN"/>
        </w:rPr>
        <w:t>人（含长学制一体化培养学生数），技工院校招生</w:t>
      </w:r>
      <w:r>
        <w:rPr>
          <w:rFonts w:hint="eastAsia"/>
          <w:lang w:val="en-US" w:eastAsia="zh-CN"/>
        </w:rPr>
        <w:t>6507人。</w:t>
      </w:r>
      <w:r>
        <w:rPr>
          <w:rFonts w:hint="default"/>
          <w:lang w:val="en-US" w:eastAsia="zh-CN"/>
        </w:rPr>
        <w:t>普通高中招生</w:t>
      </w:r>
      <w:r>
        <w:rPr>
          <w:rFonts w:hint="eastAsia"/>
          <w:lang w:val="en-US" w:eastAsia="zh-CN"/>
        </w:rPr>
        <w:t>39454</w:t>
      </w:r>
      <w:r>
        <w:rPr>
          <w:rFonts w:hint="default"/>
          <w:lang w:val="en-US" w:eastAsia="zh-CN"/>
        </w:rPr>
        <w:t>人，高中段学校招生普职比为6</w:t>
      </w:r>
      <w:r>
        <w:rPr>
          <w:rFonts w:hint="eastAsia"/>
          <w:lang w:val="en-US" w:eastAsia="zh-CN"/>
        </w:rPr>
        <w:t>6</w:t>
      </w:r>
      <w:r>
        <w:rPr>
          <w:rFonts w:hint="default"/>
          <w:lang w:val="en-US" w:eastAsia="zh-CN"/>
        </w:rPr>
        <w:t>:3</w:t>
      </w:r>
      <w:r>
        <w:rPr>
          <w:rFonts w:hint="eastAsia"/>
          <w:lang w:val="en-US" w:eastAsia="zh-CN"/>
        </w:rPr>
        <w:t>4</w:t>
      </w:r>
      <w:r>
        <w:rPr>
          <w:rFonts w:hint="default"/>
          <w:lang w:val="en-US" w:eastAsia="zh-CN"/>
        </w:rPr>
        <w:t>。</w:t>
      </w:r>
    </w:p>
    <w:p>
      <w:pPr>
        <w:pStyle w:val="38"/>
        <w:bidi w:val="0"/>
        <w:rPr>
          <w:rFonts w:hint="default"/>
          <w:lang w:val="en-US" w:eastAsia="zh-CN"/>
        </w:rPr>
      </w:pPr>
      <w:bookmarkStart w:id="24" w:name="_Toc25187"/>
      <w:r>
        <w:rPr>
          <w:rFonts w:hint="eastAsia"/>
          <w:lang w:val="en-US" w:eastAsia="zh-CN"/>
        </w:rPr>
        <w:t>表3：中等职业教育在校生历年规模统计表</w:t>
      </w:r>
      <w:bookmarkEnd w:id="24"/>
    </w:p>
    <w:tbl>
      <w:tblPr>
        <w:tblStyle w:val="13"/>
        <w:tblW w:w="81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7"/>
        <w:gridCol w:w="1517"/>
        <w:gridCol w:w="1517"/>
        <w:gridCol w:w="1517"/>
        <w:gridCol w:w="2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1517" w:type="dxa"/>
            <w:tcBorders>
              <w:top w:val="nil"/>
              <w:left w:val="nil"/>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Style w:val="41"/>
                <w:rFonts w:hint="eastAsia" w:ascii="仿宋_GB2312" w:hAnsi="仿宋_GB2312" w:eastAsia="仿宋_GB2312" w:cs="仿宋_GB2312"/>
                <w:sz w:val="21"/>
                <w:szCs w:val="21"/>
                <w:lang w:val="en-US" w:eastAsia="zh-CN" w:bidi="ar"/>
              </w:rPr>
              <w:t>年份</w:t>
            </w:r>
          </w:p>
        </w:tc>
        <w:tc>
          <w:tcPr>
            <w:tcW w:w="1517"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Style w:val="41"/>
                <w:rFonts w:hint="eastAsia" w:ascii="仿宋_GB2312" w:hAnsi="仿宋_GB2312" w:eastAsia="仿宋_GB2312" w:cs="仿宋_GB2312"/>
                <w:sz w:val="21"/>
                <w:szCs w:val="21"/>
                <w:lang w:val="en-US" w:eastAsia="zh-CN" w:bidi="ar"/>
              </w:rPr>
              <w:t>在校生数</w:t>
            </w:r>
          </w:p>
        </w:tc>
        <w:tc>
          <w:tcPr>
            <w:tcW w:w="1517"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Style w:val="41"/>
                <w:rFonts w:hint="eastAsia" w:ascii="仿宋_GB2312" w:hAnsi="仿宋_GB2312" w:eastAsia="仿宋_GB2312" w:cs="仿宋_GB2312"/>
                <w:sz w:val="21"/>
                <w:szCs w:val="21"/>
                <w:lang w:val="en-US" w:eastAsia="zh-CN" w:bidi="ar"/>
              </w:rPr>
              <w:t>当年招生数</w:t>
            </w:r>
          </w:p>
        </w:tc>
        <w:tc>
          <w:tcPr>
            <w:tcW w:w="1517"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Style w:val="41"/>
                <w:rFonts w:hint="eastAsia" w:ascii="仿宋_GB2312" w:hAnsi="仿宋_GB2312" w:eastAsia="仿宋_GB2312" w:cs="仿宋_GB2312"/>
                <w:sz w:val="21"/>
                <w:szCs w:val="21"/>
                <w:lang w:val="en-US" w:eastAsia="zh-CN" w:bidi="ar"/>
              </w:rPr>
              <w:t>当年普高招生数</w:t>
            </w:r>
          </w:p>
        </w:tc>
        <w:tc>
          <w:tcPr>
            <w:tcW w:w="2129" w:type="dxa"/>
            <w:tcBorders>
              <w:top w:val="nil"/>
              <w:left w:val="single" w:color="FFFFFF" w:sz="4" w:space="0"/>
              <w:bottom w:val="single" w:color="FFFFFF" w:sz="12" w:space="0"/>
              <w:right w:val="nil"/>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Style w:val="41"/>
                <w:rFonts w:hint="eastAsia" w:ascii="仿宋_GB2312" w:hAnsi="仿宋_GB2312" w:eastAsia="仿宋_GB2312" w:cs="仿宋_GB2312"/>
                <w:sz w:val="21"/>
                <w:szCs w:val="21"/>
                <w:lang w:val="en-US" w:eastAsia="zh-CN" w:bidi="ar"/>
              </w:rPr>
              <w:t>中职招生占比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1517" w:type="dxa"/>
            <w:tcBorders>
              <w:top w:val="single" w:color="FFFFFF" w:sz="12"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2020</w:t>
            </w:r>
          </w:p>
        </w:tc>
        <w:tc>
          <w:tcPr>
            <w:tcW w:w="1517"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47839</w:t>
            </w:r>
          </w:p>
        </w:tc>
        <w:tc>
          <w:tcPr>
            <w:tcW w:w="1517"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19611</w:t>
            </w:r>
          </w:p>
        </w:tc>
        <w:tc>
          <w:tcPr>
            <w:tcW w:w="1517"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38852</w:t>
            </w:r>
          </w:p>
        </w:tc>
        <w:tc>
          <w:tcPr>
            <w:tcW w:w="2129" w:type="dxa"/>
            <w:tcBorders>
              <w:top w:val="single" w:color="FFFFFF" w:sz="12"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1517"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2021</w:t>
            </w:r>
          </w:p>
        </w:tc>
        <w:tc>
          <w:tcPr>
            <w:tcW w:w="1517"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60405</w:t>
            </w:r>
          </w:p>
        </w:tc>
        <w:tc>
          <w:tcPr>
            <w:tcW w:w="1517"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25413</w:t>
            </w:r>
          </w:p>
        </w:tc>
        <w:tc>
          <w:tcPr>
            <w:tcW w:w="1517"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39990</w:t>
            </w:r>
          </w:p>
        </w:tc>
        <w:tc>
          <w:tcPr>
            <w:tcW w:w="2129"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66852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22818</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42293</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0" w:type="auto"/>
            <w:tcBorders>
              <w:top w:val="single" w:color="FFFFFF" w:sz="4" w:space="0"/>
              <w:left w:val="nil"/>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66839</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20586</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39454</w:t>
            </w:r>
          </w:p>
        </w:tc>
        <w:tc>
          <w:tcPr>
            <w:tcW w:w="0" w:type="auto"/>
            <w:tcBorders>
              <w:top w:val="single" w:color="FFFFFF" w:sz="4" w:space="0"/>
              <w:left w:val="single" w:color="FFFFFF" w:sz="4" w:space="0"/>
              <w:bottom w:val="nil"/>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34.29%</w:t>
            </w:r>
          </w:p>
        </w:tc>
      </w:tr>
    </w:tbl>
    <w:p>
      <w:pPr>
        <w:pStyle w:val="16"/>
        <w:ind w:left="0" w:leftChars="0" w:firstLine="0" w:firstLineChars="0"/>
        <w:rPr>
          <w:rFonts w:hint="default"/>
          <w:lang w:val="en-US" w:eastAsia="zh-CN"/>
        </w:rPr>
      </w:pPr>
    </w:p>
    <w:p>
      <w:pPr>
        <w:pStyle w:val="36"/>
        <w:bidi w:val="0"/>
        <w:rPr>
          <w:rFonts w:hint="eastAsia"/>
          <w:lang w:val="en-US" w:eastAsia="zh-CN"/>
        </w:rPr>
      </w:pPr>
      <w:bookmarkStart w:id="25" w:name="_Toc19"/>
      <w:bookmarkStart w:id="26" w:name="_Toc25480"/>
      <w:bookmarkStart w:id="27" w:name="_Toc15419"/>
      <w:r>
        <w:rPr>
          <w:rFonts w:hint="eastAsia"/>
          <w:lang w:val="en-US" w:eastAsia="zh-CN"/>
        </w:rPr>
        <w:t>1.2 设施设备</w:t>
      </w:r>
      <w:bookmarkEnd w:id="25"/>
      <w:bookmarkEnd w:id="26"/>
      <w:bookmarkEnd w:id="27"/>
    </w:p>
    <w:p>
      <w:pPr>
        <w:pStyle w:val="16"/>
        <w:rPr>
          <w:rFonts w:hint="default"/>
          <w:lang w:val="en-US" w:eastAsia="zh-CN"/>
        </w:rPr>
      </w:pPr>
      <w:r>
        <w:rPr>
          <w:rFonts w:hint="default"/>
          <w:lang w:val="en-US" w:eastAsia="zh-CN"/>
        </w:rPr>
        <w:t>202</w:t>
      </w:r>
      <w:r>
        <w:rPr>
          <w:rFonts w:hint="eastAsia"/>
          <w:lang w:val="en-US" w:eastAsia="zh-CN"/>
        </w:rPr>
        <w:t>3</w:t>
      </w:r>
      <w:r>
        <w:rPr>
          <w:rFonts w:hint="default"/>
          <w:lang w:val="en-US" w:eastAsia="zh-CN"/>
        </w:rPr>
        <w:t>年全市</w:t>
      </w:r>
      <w:r>
        <w:rPr>
          <w:rFonts w:hint="eastAsia"/>
          <w:lang w:val="en-US" w:eastAsia="zh-CN"/>
        </w:rPr>
        <w:t>中职学校</w:t>
      </w:r>
      <w:r>
        <w:rPr>
          <w:rFonts w:hint="default"/>
          <w:lang w:val="en-US" w:eastAsia="zh-CN"/>
        </w:rPr>
        <w:t>总占地面积</w:t>
      </w:r>
      <w:r>
        <w:rPr>
          <w:rFonts w:hint="eastAsia"/>
          <w:lang w:val="en-US" w:eastAsia="zh-CN"/>
        </w:rPr>
        <w:t>为2900.38</w:t>
      </w:r>
      <w:r>
        <w:rPr>
          <w:rFonts w:hint="default"/>
          <w:lang w:val="en-US" w:eastAsia="zh-CN"/>
        </w:rPr>
        <w:t>亩，总校舍建筑面积</w:t>
      </w:r>
      <w:r>
        <w:rPr>
          <w:rFonts w:hint="eastAsia"/>
          <w:lang w:val="en-US" w:eastAsia="zh-CN"/>
        </w:rPr>
        <w:t>119.47</w:t>
      </w:r>
      <w:r>
        <w:rPr>
          <w:rFonts w:hint="default"/>
          <w:lang w:val="en-US" w:eastAsia="zh-CN"/>
        </w:rPr>
        <w:t>万平方米。拥有实习实训设备价值</w:t>
      </w:r>
      <w:r>
        <w:rPr>
          <w:rFonts w:hint="eastAsia"/>
          <w:lang w:val="en-US" w:eastAsia="zh-CN"/>
        </w:rPr>
        <w:t>2.70</w:t>
      </w:r>
      <w:r>
        <w:rPr>
          <w:rFonts w:hint="default"/>
          <w:lang w:val="en-US" w:eastAsia="zh-CN"/>
        </w:rPr>
        <w:t>亿元，生均教学仪器设备值</w:t>
      </w:r>
      <w:r>
        <w:rPr>
          <w:rFonts w:hint="eastAsia"/>
          <w:lang w:val="en-US" w:eastAsia="zh-CN"/>
        </w:rPr>
        <w:t>7072</w:t>
      </w:r>
      <w:r>
        <w:rPr>
          <w:rFonts w:hint="default"/>
          <w:lang w:val="en-US" w:eastAsia="zh-CN"/>
        </w:rPr>
        <w:t>元。纸质图书</w:t>
      </w:r>
      <w:r>
        <w:rPr>
          <w:rFonts w:hint="eastAsia"/>
          <w:lang w:val="en-US" w:eastAsia="zh-CN"/>
        </w:rPr>
        <w:t>108.43</w:t>
      </w:r>
      <w:r>
        <w:rPr>
          <w:rFonts w:hint="default"/>
          <w:lang w:val="en-US" w:eastAsia="zh-CN"/>
        </w:rPr>
        <w:t>万册，电子图书</w:t>
      </w:r>
      <w:r>
        <w:rPr>
          <w:rFonts w:hint="eastAsia"/>
          <w:lang w:val="en-US" w:eastAsia="zh-CN"/>
        </w:rPr>
        <w:t>77.46</w:t>
      </w:r>
      <w:r>
        <w:rPr>
          <w:rFonts w:hint="default"/>
          <w:lang w:val="en-US" w:eastAsia="zh-CN"/>
        </w:rPr>
        <w:t>万册，生均</w:t>
      </w:r>
      <w:r>
        <w:rPr>
          <w:rFonts w:hint="eastAsia"/>
          <w:lang w:val="en-US" w:eastAsia="zh-CN"/>
        </w:rPr>
        <w:t>43.41</w:t>
      </w:r>
      <w:r>
        <w:rPr>
          <w:rFonts w:hint="default"/>
          <w:lang w:val="en-US" w:eastAsia="zh-CN"/>
        </w:rPr>
        <w:t>册。</w:t>
      </w:r>
    </w:p>
    <w:p>
      <w:pPr>
        <w:pStyle w:val="36"/>
        <w:bidi w:val="0"/>
        <w:rPr>
          <w:rFonts w:hint="eastAsia"/>
          <w:lang w:val="en-US" w:eastAsia="zh-CN"/>
        </w:rPr>
      </w:pPr>
      <w:bookmarkStart w:id="28" w:name="_Toc18340"/>
      <w:bookmarkStart w:id="29" w:name="_Toc7014"/>
      <w:r>
        <w:rPr>
          <w:rFonts w:hint="eastAsia"/>
          <w:lang w:val="en-US" w:eastAsia="zh-CN"/>
        </w:rPr>
        <w:t>1.3 教师队伍</w:t>
      </w:r>
      <w:bookmarkEnd w:id="28"/>
      <w:bookmarkEnd w:id="29"/>
    </w:p>
    <w:p>
      <w:pPr>
        <w:pStyle w:val="16"/>
        <w:rPr>
          <w:rFonts w:hint="default"/>
          <w:lang w:val="en-US" w:eastAsia="zh-CN"/>
        </w:rPr>
      </w:pPr>
      <w:r>
        <w:rPr>
          <w:rFonts w:hint="eastAsia"/>
          <w:lang w:val="en-US" w:eastAsia="zh-CN"/>
        </w:rPr>
        <w:t>2023年，全市中职学校共有教职员工额定编制数1446人，专任教师2071人。高级专业技术职务专任教师404人，占比19.90%；思政课教师216人，体育课专任教师118人，美育课专任教师130人；共有班主任843人。</w:t>
      </w:r>
    </w:p>
    <w:p>
      <w:pPr>
        <w:pStyle w:val="16"/>
        <w:rPr>
          <w:rFonts w:hint="eastAsia"/>
          <w:lang w:val="en-US" w:eastAsia="zh-CN"/>
        </w:rPr>
      </w:pPr>
      <w:r>
        <w:rPr>
          <w:rFonts w:hint="eastAsia"/>
          <w:lang w:val="en-US" w:eastAsia="zh-CN"/>
        </w:rPr>
        <w:t>由于江西省“双师型”教师的认定标准进行了更新，本年度暂无“双师型”教师。</w:t>
      </w:r>
    </w:p>
    <w:p>
      <w:pPr>
        <w:rPr>
          <w:rFonts w:hint="eastAsia"/>
          <w:lang w:val="en-US" w:eastAsia="zh-CN"/>
        </w:rPr>
      </w:pPr>
      <w:r>
        <w:rPr>
          <w:rFonts w:hint="eastAsia"/>
          <w:lang w:val="en-US" w:eastAsia="zh-CN"/>
        </w:rPr>
        <w:br w:type="page"/>
      </w:r>
    </w:p>
    <w:p>
      <w:pPr>
        <w:pStyle w:val="15"/>
        <w:numPr>
          <w:ilvl w:val="0"/>
          <w:numId w:val="0"/>
        </w:numPr>
        <w:bidi w:val="0"/>
        <w:ind w:left="0" w:leftChars="0" w:firstLine="640" w:firstLineChars="200"/>
        <w:rPr>
          <w:rFonts w:hint="eastAsia"/>
          <w:lang w:val="en-US" w:eastAsia="zh-CN"/>
        </w:rPr>
      </w:pPr>
      <w:bookmarkStart w:id="30" w:name="_Toc24840"/>
      <w:bookmarkStart w:id="31" w:name="_Toc2001"/>
      <w:r>
        <w:rPr>
          <w:rFonts w:hint="eastAsia"/>
          <w:lang w:val="en-US" w:eastAsia="zh-CN"/>
        </w:rPr>
        <w:t>2 人才培养</w:t>
      </w:r>
      <w:bookmarkEnd w:id="30"/>
      <w:bookmarkEnd w:id="31"/>
    </w:p>
    <w:p>
      <w:pPr>
        <w:pStyle w:val="36"/>
        <w:bidi w:val="0"/>
        <w:rPr>
          <w:rFonts w:hint="default"/>
          <w:lang w:val="en-US" w:eastAsia="zh-CN"/>
        </w:rPr>
      </w:pPr>
      <w:bookmarkStart w:id="32" w:name="_Toc25080"/>
      <w:r>
        <w:rPr>
          <w:rFonts w:hint="eastAsia"/>
          <w:lang w:val="en-US" w:eastAsia="zh-CN"/>
        </w:rPr>
        <w:t>2.1 专业设置</w:t>
      </w:r>
      <w:bookmarkEnd w:id="32"/>
    </w:p>
    <w:p>
      <w:pPr>
        <w:pStyle w:val="16"/>
        <w:rPr>
          <w:rFonts w:hint="default"/>
          <w:lang w:val="en-US" w:eastAsia="zh-CN"/>
        </w:rPr>
      </w:pPr>
      <w:r>
        <w:rPr>
          <w:rFonts w:hint="default"/>
          <w:lang w:val="en-US" w:eastAsia="zh-CN"/>
        </w:rPr>
        <w:t>围绕职业教育服务地方经济社会发展，促进特色化办学，</w:t>
      </w:r>
      <w:r>
        <w:rPr>
          <w:rFonts w:hint="eastAsia"/>
          <w:lang w:val="en-US" w:eastAsia="zh-CN"/>
        </w:rPr>
        <w:t>2023年</w:t>
      </w:r>
      <w:r>
        <w:rPr>
          <w:rFonts w:hint="default"/>
          <w:lang w:val="en-US" w:eastAsia="zh-CN"/>
        </w:rPr>
        <w:t>全市中职学校专业进行了科学优化</w:t>
      </w:r>
      <w:r>
        <w:rPr>
          <w:rFonts w:hint="eastAsia"/>
          <w:lang w:val="en-US" w:eastAsia="zh-CN"/>
        </w:rPr>
        <w:t>。</w:t>
      </w:r>
      <w:r>
        <w:rPr>
          <w:rFonts w:hint="default"/>
          <w:lang w:val="en-US" w:eastAsia="zh-CN"/>
        </w:rPr>
        <w:t>2022年我市中职学校原有15个专业大类、68个专业、205个专业点。2023年经过优化后，我市现有12个专业大类、49个专业、136个专业点。新</w:t>
      </w:r>
      <w:r>
        <w:rPr>
          <w:rFonts w:hint="eastAsia"/>
          <w:lang w:val="en-US" w:eastAsia="zh-CN"/>
        </w:rPr>
        <w:t>增</w:t>
      </w:r>
      <w:r>
        <w:rPr>
          <w:rFonts w:hint="default"/>
          <w:lang w:val="en-US" w:eastAsia="zh-CN"/>
        </w:rPr>
        <w:t>江西九江科技中等专业学校、九江市卫生学校、共青中医药学校等11所学校新增了中医护理、大数据技术应用、模具制造技术等15个专业，19个专业点，涉及5个专业大类。</w:t>
      </w:r>
    </w:p>
    <w:p>
      <w:pPr>
        <w:pStyle w:val="38"/>
        <w:bidi w:val="0"/>
        <w:rPr>
          <w:rFonts w:hint="default"/>
          <w:lang w:val="en-US" w:eastAsia="zh-CN"/>
        </w:rPr>
      </w:pPr>
      <w:bookmarkStart w:id="33" w:name="_Toc25318"/>
      <w:r>
        <w:rPr>
          <w:rFonts w:hint="eastAsia"/>
          <w:lang w:val="en-US" w:eastAsia="zh-CN"/>
        </w:rPr>
        <w:t>表4：2023年九江市中职教育招生专业一览表</w:t>
      </w:r>
      <w:bookmarkEnd w:id="33"/>
    </w:p>
    <w:tbl>
      <w:tblPr>
        <w:tblStyle w:val="13"/>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05"/>
        <w:gridCol w:w="1056"/>
        <w:gridCol w:w="1686"/>
        <w:gridCol w:w="1686"/>
        <w:gridCol w:w="6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680" w:hRule="atLeast"/>
          <w:tblHeader/>
        </w:trPr>
        <w:tc>
          <w:tcPr>
            <w:tcW w:w="3005" w:type="dxa"/>
            <w:tcBorders>
              <w:top w:val="nil"/>
              <w:left w:val="nil"/>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themeColor="background1"/>
                <w:sz w:val="21"/>
                <w:szCs w:val="21"/>
                <w:u w:val="none"/>
                <w14:textFill>
                  <w14:solidFill>
                    <w14:schemeClr w14:val="bg1"/>
                  </w14:solidFill>
                </w14:textFill>
              </w:rPr>
            </w:pPr>
            <w:r>
              <w:rPr>
                <w:rFonts w:hint="eastAsia" w:ascii="仿宋_GB2312" w:hAnsi="仿宋_GB2312" w:eastAsia="仿宋_GB2312" w:cs="仿宋_GB2312"/>
                <w:i w:val="0"/>
                <w:iCs w:val="0"/>
                <w:color w:val="FFFFFF" w:themeColor="background1"/>
                <w:kern w:val="0"/>
                <w:sz w:val="21"/>
                <w:szCs w:val="21"/>
                <w:u w:val="none"/>
                <w:lang w:val="en-US" w:eastAsia="zh-CN" w:bidi="ar"/>
                <w14:textFill>
                  <w14:solidFill>
                    <w14:schemeClr w14:val="bg1"/>
                  </w14:solidFill>
                </w14:textFill>
              </w:rPr>
              <w:t>专业名称</w:t>
            </w:r>
          </w:p>
        </w:tc>
        <w:tc>
          <w:tcPr>
            <w:tcW w:w="0" w:type="auto"/>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themeColor="background1"/>
                <w:sz w:val="21"/>
                <w:szCs w:val="21"/>
                <w:u w:val="none"/>
                <w14:textFill>
                  <w14:solidFill>
                    <w14:schemeClr w14:val="bg1"/>
                  </w14:solidFill>
                </w14:textFill>
              </w:rPr>
            </w:pPr>
            <w:r>
              <w:rPr>
                <w:rFonts w:hint="eastAsia" w:ascii="仿宋_GB2312" w:hAnsi="仿宋_GB2312" w:eastAsia="仿宋_GB2312" w:cs="仿宋_GB2312"/>
                <w:i w:val="0"/>
                <w:iCs w:val="0"/>
                <w:color w:val="FFFFFF" w:themeColor="background1"/>
                <w:kern w:val="0"/>
                <w:sz w:val="21"/>
                <w:szCs w:val="21"/>
                <w:u w:val="none"/>
                <w:lang w:val="en-US" w:eastAsia="zh-CN" w:bidi="ar"/>
                <w14:textFill>
                  <w14:solidFill>
                    <w14:schemeClr w14:val="bg1"/>
                  </w14:solidFill>
                </w14:textFill>
              </w:rPr>
              <w:t>专业代码</w:t>
            </w:r>
          </w:p>
        </w:tc>
        <w:tc>
          <w:tcPr>
            <w:tcW w:w="0" w:type="auto"/>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themeColor="background1"/>
                <w:sz w:val="21"/>
                <w:szCs w:val="21"/>
                <w:u w:val="none"/>
                <w14:textFill>
                  <w14:solidFill>
                    <w14:schemeClr w14:val="bg1"/>
                  </w14:solidFill>
                </w14:textFill>
              </w:rPr>
            </w:pPr>
            <w:r>
              <w:rPr>
                <w:rFonts w:hint="eastAsia" w:ascii="仿宋_GB2312" w:hAnsi="仿宋_GB2312" w:eastAsia="仿宋_GB2312" w:cs="仿宋_GB2312"/>
                <w:i w:val="0"/>
                <w:iCs w:val="0"/>
                <w:color w:val="FFFFFF" w:themeColor="background1"/>
                <w:kern w:val="0"/>
                <w:sz w:val="21"/>
                <w:szCs w:val="21"/>
                <w:u w:val="none"/>
                <w:lang w:val="en-US" w:eastAsia="zh-CN" w:bidi="ar"/>
                <w14:textFill>
                  <w14:solidFill>
                    <w14:schemeClr w14:val="bg1"/>
                  </w14:solidFill>
                </w14:textFill>
              </w:rPr>
              <w:t>专业大类</w:t>
            </w:r>
          </w:p>
        </w:tc>
        <w:tc>
          <w:tcPr>
            <w:tcW w:w="0" w:type="auto"/>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themeColor="background1"/>
                <w:sz w:val="21"/>
                <w:szCs w:val="21"/>
                <w:u w:val="none"/>
                <w14:textFill>
                  <w14:solidFill>
                    <w14:schemeClr w14:val="bg1"/>
                  </w14:solidFill>
                </w14:textFill>
              </w:rPr>
            </w:pPr>
            <w:r>
              <w:rPr>
                <w:rFonts w:hint="eastAsia" w:ascii="仿宋_GB2312" w:hAnsi="仿宋_GB2312" w:eastAsia="仿宋_GB2312" w:cs="仿宋_GB2312"/>
                <w:i w:val="0"/>
                <w:iCs w:val="0"/>
                <w:color w:val="FFFFFF" w:themeColor="background1"/>
                <w:kern w:val="0"/>
                <w:sz w:val="21"/>
                <w:szCs w:val="21"/>
                <w:u w:val="none"/>
                <w:lang w:val="en-US" w:eastAsia="zh-CN" w:bidi="ar"/>
                <w14:textFill>
                  <w14:solidFill>
                    <w14:schemeClr w14:val="bg1"/>
                  </w14:solidFill>
                </w14:textFill>
              </w:rPr>
              <w:t>专业类</w:t>
            </w:r>
          </w:p>
        </w:tc>
        <w:tc>
          <w:tcPr>
            <w:tcW w:w="0" w:type="auto"/>
            <w:tcBorders>
              <w:top w:val="nil"/>
              <w:left w:val="single" w:color="FFFFFF" w:sz="4" w:space="0"/>
              <w:bottom w:val="single" w:color="FFFFFF" w:sz="12" w:space="0"/>
              <w:right w:val="nil"/>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themeColor="background1"/>
                <w:sz w:val="21"/>
                <w:szCs w:val="21"/>
                <w:u w:val="none"/>
                <w14:textFill>
                  <w14:solidFill>
                    <w14:schemeClr w14:val="bg1"/>
                  </w14:solidFill>
                </w14:textFill>
              </w:rPr>
            </w:pPr>
            <w:r>
              <w:rPr>
                <w:rFonts w:hint="eastAsia" w:ascii="仿宋_GB2312" w:hAnsi="仿宋_GB2312" w:eastAsia="仿宋_GB2312" w:cs="仿宋_GB2312"/>
                <w:i w:val="0"/>
                <w:iCs w:val="0"/>
                <w:color w:val="FFFFFF" w:themeColor="background1"/>
                <w:kern w:val="0"/>
                <w:sz w:val="21"/>
                <w:szCs w:val="21"/>
                <w:u w:val="none"/>
                <w:lang w:val="en-US" w:eastAsia="zh-CN" w:bidi="ar"/>
                <w14:textFill>
                  <w14:solidFill>
                    <w14:schemeClr w14:val="bg1"/>
                  </w14:solidFill>
                </w14:textFill>
              </w:rPr>
              <w:t>学制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12"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茶叶生产与加工</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610107</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农林牧渔大类</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农业类</w:t>
            </w:r>
          </w:p>
        </w:tc>
        <w:tc>
          <w:tcPr>
            <w:tcW w:w="0" w:type="auto"/>
            <w:tcBorders>
              <w:top w:val="single" w:color="FFFFFF" w:sz="12"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建筑装饰技术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640102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土木建筑大类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建筑设计类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建筑智能化设备安装与运维</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640401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土木建筑大类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建筑设备类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建筑工程造价</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640501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土木建筑大类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建设工程管理类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数控技术应用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660103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机械设计制造类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模具制造技术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660108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机械设计制造类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智能设备运行与维护</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660201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机电设备类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机电技术应用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660301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自动化类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电气设备运行与控制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660302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自动化类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工业机器人技术应用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660303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自动化类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无人机操控与维护</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660601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航空装备类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汽车制造与检测</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660701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汽车制造类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化学工艺</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670201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生物与化工大类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化工技术类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服装设计与工艺</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680402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轻工纺织大类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纺织服装类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高速铁路乘务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700108</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铁道运输类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汽车运用与维修</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700206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道路运输类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新能源汽车运用与维修</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700209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道路运输类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航空服务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700402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航空运输类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城市轨道交通运营服务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700604</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城市轨道交通类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电子信息技术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710101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电子信息类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物联网技术应用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710102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电子信息类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710103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电子信息类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710201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计算机网络技术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710202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软件与信息服务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710203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数字媒体技术应用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710204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大数据技术应用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710205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计算机平面设计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710210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现代通信技术应用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710301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通信类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护理</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720201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护理类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药剂</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720301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药学类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中医护理</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720402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中医药类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中医康复技术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720408</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中医药类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医学检验技术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720501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医学技术类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康复技术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720601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康复治疗类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会计事务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730301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财务会计类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市场营销</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730602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工商管理类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客户信息服务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730603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工商管理类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电子商务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730701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电子商务类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网络营销</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730704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电子商务类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物流服务与管理</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730801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物流类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旅游服务与管理</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740101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高星级饭店运营与管理</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740104</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茶艺与茶营销</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740105</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中餐烹饪</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740201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餐饮类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绘画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750107</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文化艺术大类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艺术设计类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美容美体艺术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750111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文化艺术大类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艺术设计类</w:t>
            </w:r>
          </w:p>
        </w:tc>
        <w:tc>
          <w:tcPr>
            <w:tcW w:w="0" w:type="auto"/>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幼儿保育</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770101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教育与体育大类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教育类</w:t>
            </w:r>
          </w:p>
        </w:tc>
        <w:tc>
          <w:tcPr>
            <w:tcW w:w="0" w:type="auto"/>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05" w:type="dxa"/>
            <w:tcBorders>
              <w:top w:val="single" w:color="FFFFFF" w:sz="4" w:space="0"/>
              <w:left w:val="nil"/>
              <w:bottom w:val="nil"/>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运动训练</w:t>
            </w:r>
          </w:p>
        </w:tc>
        <w:tc>
          <w:tcPr>
            <w:tcW w:w="0" w:type="auto"/>
            <w:tcBorders>
              <w:top w:val="single" w:color="FFFFFF" w:sz="4" w:space="0"/>
              <w:left w:val="single" w:color="FFFFFF" w:sz="4" w:space="0"/>
              <w:bottom w:val="nil"/>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770303</w:t>
            </w:r>
          </w:p>
        </w:tc>
        <w:tc>
          <w:tcPr>
            <w:tcW w:w="0" w:type="auto"/>
            <w:tcBorders>
              <w:top w:val="single" w:color="FFFFFF" w:sz="4" w:space="0"/>
              <w:left w:val="single" w:color="FFFFFF" w:sz="4" w:space="0"/>
              <w:bottom w:val="nil"/>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教育与体育大类</w:t>
            </w:r>
          </w:p>
        </w:tc>
        <w:tc>
          <w:tcPr>
            <w:tcW w:w="0" w:type="auto"/>
            <w:tcBorders>
              <w:top w:val="single" w:color="FFFFFF" w:sz="4" w:space="0"/>
              <w:left w:val="single" w:color="FFFFFF" w:sz="4" w:space="0"/>
              <w:bottom w:val="nil"/>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Style w:val="42"/>
                <w:rFonts w:hint="eastAsia" w:ascii="仿宋_GB2312" w:hAnsi="仿宋_GB2312" w:eastAsia="仿宋_GB2312" w:cs="仿宋_GB2312"/>
                <w:sz w:val="21"/>
                <w:szCs w:val="21"/>
                <w:lang w:val="en-US" w:eastAsia="zh-CN" w:bidi="ar"/>
              </w:rPr>
              <w:t>体育类</w:t>
            </w:r>
          </w:p>
        </w:tc>
        <w:tc>
          <w:tcPr>
            <w:tcW w:w="0" w:type="auto"/>
            <w:tcBorders>
              <w:top w:val="single" w:color="FFFFFF" w:sz="4" w:space="0"/>
              <w:left w:val="single" w:color="FFFFFF" w:sz="4" w:space="0"/>
              <w:bottom w:val="nil"/>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r>
    </w:tbl>
    <w:p>
      <w:pPr>
        <w:pStyle w:val="16"/>
        <w:rPr>
          <w:rFonts w:hint="default"/>
          <w:lang w:val="en-US" w:eastAsia="zh-CN"/>
        </w:rPr>
      </w:pPr>
    </w:p>
    <w:p>
      <w:pPr>
        <w:pStyle w:val="36"/>
        <w:bidi w:val="0"/>
        <w:rPr>
          <w:rFonts w:hint="default"/>
          <w:lang w:val="en-US" w:eastAsia="zh-CN"/>
        </w:rPr>
      </w:pPr>
      <w:bookmarkStart w:id="34" w:name="_Toc29082"/>
      <w:bookmarkStart w:id="35" w:name="_Toc32188"/>
      <w:r>
        <w:rPr>
          <w:rFonts w:hint="default"/>
          <w:lang w:val="en-US" w:eastAsia="zh-CN"/>
        </w:rPr>
        <w:t>2.2</w:t>
      </w:r>
      <w:r>
        <w:rPr>
          <w:rFonts w:hint="eastAsia"/>
          <w:lang w:val="en-US" w:eastAsia="zh-CN"/>
        </w:rPr>
        <w:t xml:space="preserve"> </w:t>
      </w:r>
      <w:r>
        <w:rPr>
          <w:rFonts w:hint="default"/>
          <w:lang w:val="en-US" w:eastAsia="zh-CN"/>
        </w:rPr>
        <w:t>立德树人</w:t>
      </w:r>
      <w:bookmarkEnd w:id="34"/>
      <w:bookmarkEnd w:id="35"/>
    </w:p>
    <w:p>
      <w:pPr>
        <w:pStyle w:val="16"/>
        <w:rPr>
          <w:rFonts w:hint="default"/>
          <w:lang w:val="en-US" w:eastAsia="zh-CN"/>
        </w:rPr>
      </w:pPr>
      <w:r>
        <w:rPr>
          <w:rFonts w:hint="eastAsia"/>
          <w:lang w:val="en-US" w:eastAsia="zh-CN"/>
        </w:rPr>
        <w:t>2023年，各中职</w:t>
      </w:r>
      <w:r>
        <w:rPr>
          <w:rFonts w:hint="default"/>
          <w:lang w:val="en-US" w:eastAsia="zh-CN"/>
        </w:rPr>
        <w:t>学校</w:t>
      </w:r>
      <w:r>
        <w:rPr>
          <w:rFonts w:hint="eastAsia"/>
          <w:lang w:val="en-US" w:eastAsia="zh-CN"/>
        </w:rPr>
        <w:t>进一步</w:t>
      </w:r>
      <w:r>
        <w:rPr>
          <w:rFonts w:hint="default"/>
          <w:lang w:val="en-US" w:eastAsia="zh-CN"/>
        </w:rPr>
        <w:t>坚持以习近平新时代中国特色社会主义思想为指导，紧紧围绕立德树人根本任务，引导学生树立正确的世界观、人生观和价值观</w:t>
      </w:r>
      <w:r>
        <w:rPr>
          <w:rFonts w:hint="eastAsia"/>
          <w:lang w:val="en-US" w:eastAsia="zh-CN"/>
        </w:rPr>
        <w:t>，厚植爱国主义情怀，培育社会公德和传统道德。让学生自觉</w:t>
      </w:r>
      <w:r>
        <w:rPr>
          <w:rFonts w:hint="default"/>
          <w:lang w:val="en-US" w:eastAsia="zh-CN"/>
        </w:rPr>
        <w:t>把爱国情、强国志、报国行自觉融入坚持和发展中国特色社会主义事业、建设社会主义现代化强国、实现中华民族伟大复兴的奋斗之中。</w:t>
      </w:r>
    </w:p>
    <w:p>
      <w:pPr>
        <w:pStyle w:val="37"/>
        <w:bidi w:val="0"/>
        <w:rPr>
          <w:rFonts w:hint="default"/>
          <w:lang w:val="en-US" w:eastAsia="zh-CN"/>
        </w:rPr>
      </w:pPr>
      <w:bookmarkStart w:id="36" w:name="_Toc26253"/>
      <w:r>
        <w:rPr>
          <w:rFonts w:hint="default"/>
          <w:lang w:val="en-US" w:eastAsia="zh-CN"/>
        </w:rPr>
        <w:t>案例</w:t>
      </w:r>
      <w:r>
        <w:rPr>
          <w:rFonts w:hint="eastAsia"/>
          <w:lang w:val="en-US" w:eastAsia="zh-CN"/>
        </w:rPr>
        <w:t>1</w:t>
      </w:r>
      <w:r>
        <w:rPr>
          <w:rFonts w:hint="default"/>
          <w:lang w:val="en-US" w:eastAsia="zh-CN"/>
        </w:rPr>
        <w:t>：</w:t>
      </w:r>
      <w:r>
        <w:rPr>
          <w:rFonts w:hint="eastAsia"/>
          <w:lang w:val="en-US" w:eastAsia="zh-CN"/>
        </w:rPr>
        <w:t>永修中专开展</w:t>
      </w:r>
      <w:r>
        <w:rPr>
          <w:rFonts w:hint="default"/>
          <w:lang w:val="en-US" w:eastAsia="zh-CN"/>
        </w:rPr>
        <w:t>丰富多彩的共青团活动</w:t>
      </w:r>
      <w:bookmarkEnd w:id="36"/>
      <w:r>
        <w:rPr>
          <w:rFonts w:hint="default"/>
          <w:lang w:val="en-US" w:eastAsia="zh-CN"/>
        </w:rPr>
        <w:t xml:space="preserve"> </w:t>
      </w:r>
    </w:p>
    <w:p>
      <w:pPr>
        <w:pStyle w:val="39"/>
        <w:bidi w:val="0"/>
        <w:rPr>
          <w:rFonts w:hint="default"/>
          <w:lang w:val="en-US" w:eastAsia="zh-CN"/>
        </w:rPr>
      </w:pPr>
      <w:r>
        <w:rPr>
          <w:rFonts w:hint="default"/>
          <w:lang w:val="en-US" w:eastAsia="zh-CN"/>
        </w:rPr>
        <w:t>为加强共青团建设，学校团委在县团委的领导下，结合学校实际，开展了一系列的团队活动。既提高了全校团员的思想素养，又提高了学生参与社会生活的能力。</w:t>
      </w:r>
    </w:p>
    <w:p>
      <w:pPr>
        <w:pStyle w:val="39"/>
        <w:bidi w:val="0"/>
        <w:rPr>
          <w:rFonts w:hint="default"/>
          <w:lang w:val="en-US" w:eastAsia="zh-CN"/>
        </w:rPr>
      </w:pPr>
      <w:r>
        <w:rPr>
          <w:rFonts w:hint="default"/>
          <w:lang w:val="en-US" w:eastAsia="zh-CN"/>
        </w:rPr>
        <w:t>3月份开展了“寻找雷锋足迹，弘扬雷锋精神”学雷锋活动月。</w:t>
      </w:r>
    </w:p>
    <w:p>
      <w:pPr>
        <w:pStyle w:val="39"/>
        <w:bidi w:val="0"/>
        <w:rPr>
          <w:rFonts w:hint="default"/>
          <w:lang w:val="en-US" w:eastAsia="zh-CN"/>
        </w:rPr>
      </w:pPr>
      <w:r>
        <w:rPr>
          <w:rFonts w:hint="default"/>
          <w:lang w:val="en-US" w:eastAsia="zh-CN"/>
        </w:rPr>
        <w:t>4月4日组织了“缅怀革命先烈弘扬烈士精神”清明祭扫革命烈士纪念塔活动。</w:t>
      </w:r>
    </w:p>
    <w:p>
      <w:pPr>
        <w:pStyle w:val="39"/>
        <w:bidi w:val="0"/>
        <w:rPr>
          <w:rFonts w:hint="default"/>
          <w:lang w:val="en-US" w:eastAsia="zh-CN"/>
        </w:rPr>
      </w:pPr>
      <w:r>
        <w:rPr>
          <w:rFonts w:hint="default"/>
          <w:lang w:val="en-US" w:eastAsia="zh-CN"/>
        </w:rPr>
        <w:t>4月29日组织入团积极分子团课学习，各支部开会讨论和表决拟入团同学名单</w:t>
      </w:r>
    </w:p>
    <w:p>
      <w:pPr>
        <w:pStyle w:val="39"/>
        <w:bidi w:val="0"/>
        <w:rPr>
          <w:rFonts w:hint="default"/>
          <w:lang w:val="en-US" w:eastAsia="zh-CN"/>
        </w:rPr>
      </w:pPr>
      <w:r>
        <w:rPr>
          <w:rFonts w:hint="default"/>
          <w:lang w:val="en-US" w:eastAsia="zh-CN"/>
        </w:rPr>
        <w:t>10月举办“红色故事我来讲、革命精神永流传”演讲比赛</w:t>
      </w:r>
    </w:p>
    <w:p>
      <w:pPr>
        <w:pStyle w:val="39"/>
        <w:bidi w:val="0"/>
        <w:rPr>
          <w:rFonts w:hint="default"/>
          <w:lang w:val="en-US" w:eastAsia="zh-CN"/>
        </w:rPr>
      </w:pPr>
      <w:r>
        <w:rPr>
          <w:rFonts w:hint="default"/>
          <w:lang w:val="en-US" w:eastAsia="zh-CN"/>
        </w:rPr>
        <w:t>11月组织全校师生共跳一支（我和我的祖国）舞。</w:t>
      </w:r>
    </w:p>
    <w:p>
      <w:pPr>
        <w:pStyle w:val="39"/>
        <w:bidi w:val="0"/>
        <w:rPr>
          <w:rFonts w:hint="default"/>
          <w:lang w:val="en-US" w:eastAsia="zh-CN"/>
        </w:rPr>
      </w:pPr>
      <w:r>
        <w:rPr>
          <w:rFonts w:hint="default"/>
          <w:lang w:val="en-US" w:eastAsia="zh-CN"/>
        </w:rPr>
        <w:t>12月开展了“青春心向党，建功新时代”主题教育团日活动。</w:t>
      </w:r>
    </w:p>
    <w:p>
      <w:pPr>
        <w:pStyle w:val="39"/>
        <w:bidi w:val="0"/>
        <w:rPr>
          <w:rFonts w:hint="default"/>
          <w:lang w:val="en-US" w:eastAsia="zh-CN"/>
        </w:rPr>
      </w:pPr>
    </w:p>
    <w:p>
      <w:pPr>
        <w:pStyle w:val="37"/>
        <w:bidi w:val="0"/>
        <w:rPr>
          <w:rFonts w:hint="eastAsia"/>
          <w:lang w:val="en-US" w:eastAsia="zh-CN"/>
        </w:rPr>
      </w:pPr>
      <w:bookmarkStart w:id="37" w:name="_Toc17226"/>
      <w:r>
        <w:rPr>
          <w:rFonts w:hint="eastAsia"/>
          <w:lang w:val="en-US" w:eastAsia="zh-CN"/>
        </w:rPr>
        <w:t>案例2：九江科技中专提高学校思想政治理论课教学质量</w:t>
      </w:r>
      <w:bookmarkEnd w:id="37"/>
    </w:p>
    <w:p>
      <w:pPr>
        <w:pStyle w:val="39"/>
        <w:bidi w:val="0"/>
        <w:rPr>
          <w:rFonts w:hint="eastAsia"/>
          <w:lang w:val="en-US" w:eastAsia="zh-CN"/>
        </w:rPr>
      </w:pPr>
      <w:r>
        <w:rPr>
          <w:rFonts w:hint="eastAsia"/>
          <w:lang w:val="en-US" w:eastAsia="zh-CN"/>
        </w:rPr>
        <w:t>九江科技中专为提高学校思想政治理论课教学质量和水平，开创学校思想政治教育工作新局面，结合学校实际，制定了思政工作建设方案。成立了学校思政教师教研工作组，组建学校大思政工作群（微信工作群和钉钉授课群），新建思政处工作邮箱，进一步规范全校思想政治理论课教学计划及课程进度，加强思政教师业务交流。开辟了校园广播站思政宣传阵地，每周二、周四午间开设“空中课堂”，进行思政教育宣讲，各系利用晚自习时间收看新闻联播，积极引导学生听党话、跟党走，争做新时代好少年，帮助学生扣好人生第一粒扣子。</w:t>
      </w:r>
    </w:p>
    <w:p>
      <w:pPr>
        <w:pStyle w:val="39"/>
        <w:bidi w:val="0"/>
        <w:rPr>
          <w:rFonts w:hint="default"/>
          <w:lang w:val="en-US" w:eastAsia="zh-CN"/>
        </w:rPr>
      </w:pPr>
      <w:r>
        <w:rPr>
          <w:rFonts w:hint="eastAsia"/>
          <w:lang w:val="en-US" w:eastAsia="zh-CN"/>
        </w:rPr>
        <w:t>2022—2023学年下学期学校共有80个教学班，在校学生3842人，43名思政教师；2023—2024学年上学期学校共有56个教学班，在校学生2767人，22名思政教师参与相关活动。</w:t>
      </w:r>
    </w:p>
    <w:p>
      <w:pPr>
        <w:pStyle w:val="39"/>
        <w:bidi w:val="0"/>
        <w:rPr>
          <w:rFonts w:hint="eastAsia"/>
          <w:lang w:val="en-US" w:eastAsia="zh-CN"/>
        </w:rPr>
      </w:pPr>
    </w:p>
    <w:p>
      <w:pPr>
        <w:pStyle w:val="39"/>
        <w:bidi w:val="0"/>
        <w:rPr>
          <w:rFonts w:hint="default"/>
          <w:lang w:val="en-US" w:eastAsia="zh-CN"/>
        </w:rPr>
      </w:pPr>
    </w:p>
    <w:p>
      <w:pPr>
        <w:pStyle w:val="40"/>
        <w:bidi w:val="0"/>
        <w:rPr>
          <w:rFonts w:hint="eastAsia"/>
          <w:lang w:val="en-US" w:eastAsia="zh-CN"/>
        </w:rPr>
      </w:pPr>
      <w:bookmarkStart w:id="38" w:name="_Toc19696"/>
      <w:r>
        <w:rPr>
          <w:rFonts w:hint="eastAsia"/>
          <w:lang w:val="en-US" w:eastAsia="zh-CN"/>
        </w:rPr>
        <w:t>图1：</w:t>
      </w:r>
      <w:r>
        <w:rPr>
          <w:rFonts w:hint="default"/>
          <w:lang w:val="en-US" w:eastAsia="zh-CN"/>
        </w:rPr>
        <w:t>赣北电子工业学校</w:t>
      </w:r>
      <w:r>
        <w:rPr>
          <w:rFonts w:hint="eastAsia"/>
          <w:lang w:val="en-US" w:eastAsia="zh-CN"/>
        </w:rPr>
        <w:drawing>
          <wp:anchor distT="0" distB="0" distL="114300" distR="114300" simplePos="0" relativeHeight="251660288" behindDoc="1" locked="0" layoutInCell="1" allowOverlap="1">
            <wp:simplePos x="0" y="0"/>
            <wp:positionH relativeFrom="column">
              <wp:posOffset>57150</wp:posOffset>
            </wp:positionH>
            <wp:positionV relativeFrom="paragraph">
              <wp:posOffset>80645</wp:posOffset>
            </wp:positionV>
            <wp:extent cx="5219700" cy="3754755"/>
            <wp:effectExtent l="0" t="0" r="0" b="17145"/>
            <wp:wrapThrough wrapText="bothSides">
              <wp:wrapPolygon>
                <wp:start x="0" y="0"/>
                <wp:lineTo x="0" y="21479"/>
                <wp:lineTo x="21521" y="21479"/>
                <wp:lineTo x="21521" y="0"/>
                <wp:lineTo x="0" y="0"/>
              </wp:wrapPolygon>
            </wp:wrapThrough>
            <wp:docPr id="10" name="图片 10" descr="IMG_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3"/>
                    <pic:cNvPicPr>
                      <a:picLocks noChangeAspect="1"/>
                    </pic:cNvPicPr>
                  </pic:nvPicPr>
                  <pic:blipFill>
                    <a:blip r:embed="rId8"/>
                    <a:srcRect r="3145"/>
                    <a:stretch>
                      <a:fillRect/>
                    </a:stretch>
                  </pic:blipFill>
                  <pic:spPr>
                    <a:xfrm>
                      <a:off x="0" y="0"/>
                      <a:ext cx="5219700" cy="3754755"/>
                    </a:xfrm>
                    <a:prstGeom prst="rect">
                      <a:avLst/>
                    </a:prstGeom>
                  </pic:spPr>
                </pic:pic>
              </a:graphicData>
            </a:graphic>
          </wp:anchor>
        </w:drawing>
      </w:r>
      <w:r>
        <w:rPr>
          <w:rFonts w:hint="eastAsia"/>
          <w:lang w:val="en-US" w:eastAsia="zh-CN"/>
        </w:rPr>
        <w:t>新团员参加入团仪式</w:t>
      </w:r>
      <w:bookmarkEnd w:id="38"/>
    </w:p>
    <w:p>
      <w:pPr>
        <w:pStyle w:val="16"/>
        <w:rPr>
          <w:rFonts w:hint="default"/>
          <w:lang w:val="en-US" w:eastAsia="zh-CN"/>
        </w:rPr>
      </w:pPr>
    </w:p>
    <w:p>
      <w:pPr>
        <w:pStyle w:val="36"/>
        <w:bidi w:val="0"/>
        <w:rPr>
          <w:rFonts w:hint="default"/>
          <w:lang w:val="en-US" w:eastAsia="zh-CN"/>
        </w:rPr>
      </w:pPr>
      <w:bookmarkStart w:id="39" w:name="_Toc27711"/>
      <w:bookmarkStart w:id="40" w:name="_Toc21108"/>
      <w:r>
        <w:rPr>
          <w:rFonts w:hint="default"/>
          <w:lang w:val="en-US" w:eastAsia="zh-CN"/>
        </w:rPr>
        <w:t>2.3</w:t>
      </w:r>
      <w:r>
        <w:rPr>
          <w:rFonts w:hint="eastAsia"/>
          <w:lang w:val="en-US" w:eastAsia="zh-CN"/>
        </w:rPr>
        <w:t xml:space="preserve"> </w:t>
      </w:r>
      <w:r>
        <w:rPr>
          <w:rFonts w:hint="default"/>
          <w:lang w:val="en-US" w:eastAsia="zh-CN"/>
        </w:rPr>
        <w:t>在校体验</w:t>
      </w:r>
      <w:bookmarkEnd w:id="39"/>
      <w:bookmarkEnd w:id="40"/>
    </w:p>
    <w:p>
      <w:pPr>
        <w:pStyle w:val="16"/>
        <w:rPr>
          <w:rFonts w:hint="default"/>
          <w:lang w:val="en-US" w:eastAsia="zh-CN"/>
        </w:rPr>
      </w:pPr>
      <w:r>
        <w:rPr>
          <w:rFonts w:hint="eastAsia"/>
          <w:lang w:val="en-US" w:eastAsia="zh-CN"/>
        </w:rPr>
        <w:t>2023年，</w:t>
      </w:r>
      <w:r>
        <w:rPr>
          <w:rFonts w:hint="default"/>
          <w:lang w:val="en-US" w:eastAsia="zh-CN"/>
        </w:rPr>
        <w:t>全市</w:t>
      </w:r>
      <w:r>
        <w:rPr>
          <w:rFonts w:hint="eastAsia"/>
          <w:lang w:val="en-US" w:eastAsia="zh-CN"/>
        </w:rPr>
        <w:t>各</w:t>
      </w:r>
      <w:r>
        <w:rPr>
          <w:rFonts w:hint="default"/>
          <w:lang w:val="en-US" w:eastAsia="zh-CN"/>
        </w:rPr>
        <w:t>中职学校积极营造良好的校园氛围，保障学生良好学习环境，为师生提供优质的服务，打造健康、向上、积极的校园文化，让师生在工作和学习中享受快乐。</w:t>
      </w:r>
    </w:p>
    <w:p>
      <w:pPr>
        <w:pStyle w:val="16"/>
        <w:ind w:left="0" w:leftChars="0" w:firstLine="0" w:firstLineChars="0"/>
        <w:jc w:val="center"/>
        <w:rPr>
          <w:rFonts w:hint="default"/>
          <w:lang w:val="en-US" w:eastAsia="zh-CN"/>
        </w:rPr>
      </w:pPr>
      <w:r>
        <w:rPr>
          <w:rFonts w:hint="eastAsia" w:ascii="仿宋_GB2312" w:eastAsia="仿宋_GB2312"/>
          <w:sz w:val="32"/>
          <w:szCs w:val="32"/>
        </w:rPr>
        <w:drawing>
          <wp:inline distT="0" distB="0" distL="114300" distR="114300">
            <wp:extent cx="5039995" cy="3435350"/>
            <wp:effectExtent l="0" t="0" r="8255" b="12700"/>
            <wp:docPr id="5435531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53180"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39995" cy="3435350"/>
                    </a:xfrm>
                    <a:prstGeom prst="rect">
                      <a:avLst/>
                    </a:prstGeom>
                    <a:noFill/>
                    <a:ln>
                      <a:noFill/>
                    </a:ln>
                  </pic:spPr>
                </pic:pic>
              </a:graphicData>
            </a:graphic>
          </wp:inline>
        </w:drawing>
      </w:r>
    </w:p>
    <w:p>
      <w:pPr>
        <w:pStyle w:val="40"/>
        <w:bidi w:val="0"/>
        <w:rPr>
          <w:rFonts w:hint="default"/>
          <w:lang w:val="en-US" w:eastAsia="zh-CN"/>
        </w:rPr>
      </w:pPr>
      <w:bookmarkStart w:id="41" w:name="_Toc15950"/>
      <w:r>
        <w:rPr>
          <w:rFonts w:hint="eastAsia"/>
          <w:lang w:val="en-US" w:eastAsia="zh-CN"/>
        </w:rPr>
        <w:t>图2：九江市卫生学校的学生跳蚤市场</w:t>
      </w:r>
      <w:bookmarkEnd w:id="41"/>
    </w:p>
    <w:p>
      <w:pPr>
        <w:pStyle w:val="16"/>
        <w:ind w:left="0" w:leftChars="0" w:firstLine="0" w:firstLineChars="0"/>
        <w:jc w:val="center"/>
        <w:rPr>
          <w:rFonts w:ascii="宋体" w:hAnsi="宋体"/>
        </w:rPr>
      </w:pPr>
      <w:r>
        <w:rPr>
          <w:rFonts w:ascii="宋体" w:hAnsi="宋体"/>
        </w:rPr>
        <w:drawing>
          <wp:inline distT="0" distB="0" distL="114300" distR="114300">
            <wp:extent cx="5039995" cy="3359150"/>
            <wp:effectExtent l="0" t="0" r="8255"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0"/>
                    <a:stretch>
                      <a:fillRect/>
                    </a:stretch>
                  </pic:blipFill>
                  <pic:spPr>
                    <a:xfrm>
                      <a:off x="0" y="0"/>
                      <a:ext cx="5039995" cy="3359150"/>
                    </a:xfrm>
                    <a:prstGeom prst="rect">
                      <a:avLst/>
                    </a:prstGeom>
                    <a:noFill/>
                    <a:ln>
                      <a:noFill/>
                    </a:ln>
                  </pic:spPr>
                </pic:pic>
              </a:graphicData>
            </a:graphic>
          </wp:inline>
        </w:drawing>
      </w:r>
    </w:p>
    <w:p>
      <w:pPr>
        <w:pStyle w:val="40"/>
        <w:bidi w:val="0"/>
        <w:rPr>
          <w:rFonts w:hint="default"/>
          <w:lang w:val="en-US" w:eastAsia="zh-CN"/>
        </w:rPr>
      </w:pPr>
      <w:bookmarkStart w:id="42" w:name="_Toc27075"/>
      <w:r>
        <w:rPr>
          <w:rFonts w:hint="eastAsia"/>
          <w:lang w:val="en-US" w:eastAsia="zh-CN"/>
        </w:rPr>
        <w:t>图3：都昌中专组织汽车类专业技能展示</w:t>
      </w:r>
      <w:bookmarkEnd w:id="42"/>
    </w:p>
    <w:p>
      <w:pPr>
        <w:pStyle w:val="16"/>
        <w:rPr>
          <w:rFonts w:hint="default"/>
          <w:lang w:val="en-US" w:eastAsia="zh-CN"/>
        </w:rPr>
      </w:pPr>
      <w:r>
        <w:rPr>
          <w:rFonts w:hint="eastAsia"/>
          <w:lang w:val="en-US" w:eastAsia="zh-CN"/>
        </w:rPr>
        <w:t>2023年各中职学校参加国家学生体质健康标准测试人数34913人，测评合格率91.23%。</w:t>
      </w:r>
    </w:p>
    <w:p>
      <w:pPr>
        <w:pStyle w:val="16"/>
        <w:rPr>
          <w:rFonts w:hint="default"/>
          <w:lang w:val="en-US" w:eastAsia="zh-CN"/>
        </w:rPr>
      </w:pPr>
      <w:r>
        <w:rPr>
          <w:rFonts w:hint="default"/>
          <w:lang w:val="en-US" w:eastAsia="zh-CN"/>
        </w:rPr>
        <w:t>通过组织各中职学校，召开学生代表座谈会、问卷调查、网络征集、电话调查等方式，及时掌握、评估在校学生对课堂育人、思想政治课、公共基础课、专业课教学等满意程度。通过问卷调查、网络征集、电话调查等方式对教职工、毕业生、用人单位以及学生家长满意程度进行了调查测评。从调查结果看，在校生、毕业生、教职工、用人单位和家长各项满</w:t>
      </w:r>
      <w:r>
        <w:rPr>
          <w:rFonts w:hint="eastAsia"/>
          <w:lang w:val="en-US" w:eastAsia="zh-CN"/>
        </w:rPr>
        <w:t>意度</w:t>
      </w:r>
      <w:r>
        <w:rPr>
          <w:rFonts w:hint="default"/>
          <w:lang w:val="en-US" w:eastAsia="zh-CN"/>
        </w:rPr>
        <w:t>总体处于良好水平。</w:t>
      </w:r>
    </w:p>
    <w:p>
      <w:pPr>
        <w:pStyle w:val="38"/>
        <w:bidi w:val="0"/>
        <w:rPr>
          <w:rFonts w:hint="default"/>
          <w:lang w:val="en-US" w:eastAsia="zh-CN"/>
        </w:rPr>
      </w:pPr>
      <w:bookmarkStart w:id="43" w:name="_Toc12746"/>
      <w:r>
        <w:rPr>
          <w:rFonts w:hint="eastAsia"/>
          <w:lang w:val="en-US" w:eastAsia="zh-CN"/>
        </w:rPr>
        <w:t>表5：满意度调查（综合）一览表</w:t>
      </w:r>
      <w:bookmarkEnd w:id="43"/>
    </w:p>
    <w:tbl>
      <w:tblPr>
        <w:tblStyle w:val="13"/>
        <w:tblW w:w="8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40"/>
        <w:gridCol w:w="4535"/>
        <w:gridCol w:w="1023"/>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440" w:type="dxa"/>
            <w:tcBorders>
              <w:top w:val="nil"/>
              <w:left w:val="nil"/>
              <w:bottom w:val="single" w:color="FFFFFF" w:sz="12" w:space="0"/>
              <w:right w:val="single" w:color="FFFFFF" w:sz="4" w:space="0"/>
            </w:tcBorders>
            <w:shd w:val="clear" w:color="4874CB" w:fill="4874CB"/>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调查对象</w:t>
            </w:r>
          </w:p>
        </w:tc>
        <w:tc>
          <w:tcPr>
            <w:tcW w:w="4535"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指标</w:t>
            </w:r>
          </w:p>
        </w:tc>
        <w:tc>
          <w:tcPr>
            <w:tcW w:w="1023"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满意度</w:t>
            </w:r>
          </w:p>
        </w:tc>
        <w:tc>
          <w:tcPr>
            <w:tcW w:w="1122" w:type="dxa"/>
            <w:tcBorders>
              <w:top w:val="nil"/>
              <w:left w:val="single" w:color="FFFFFF" w:sz="4" w:space="0"/>
              <w:bottom w:val="single" w:color="FFFFFF" w:sz="12" w:space="0"/>
              <w:right w:val="nil"/>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调查人次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restart"/>
            <w:tcBorders>
              <w:top w:val="single" w:color="FFFFFF" w:sz="12"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在校生</w:t>
            </w:r>
          </w:p>
        </w:tc>
        <w:tc>
          <w:tcPr>
            <w:tcW w:w="4535"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在校生满意度</w:t>
            </w:r>
          </w:p>
        </w:tc>
        <w:tc>
          <w:tcPr>
            <w:tcW w:w="1023"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84.13%</w:t>
            </w:r>
          </w:p>
        </w:tc>
        <w:tc>
          <w:tcPr>
            <w:tcW w:w="1122" w:type="dxa"/>
            <w:tcBorders>
              <w:top w:val="single" w:color="FFFFFF" w:sz="12"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continue"/>
            <w:tcBorders>
              <w:top w:val="single" w:color="FFFFFF" w:sz="12"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其中：课堂育人满意度</w:t>
            </w:r>
          </w:p>
        </w:tc>
        <w:tc>
          <w:tcPr>
            <w:tcW w:w="1023"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83.72%</w:t>
            </w:r>
          </w:p>
        </w:tc>
        <w:tc>
          <w:tcPr>
            <w:tcW w:w="1122"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continue"/>
            <w:tcBorders>
              <w:top w:val="single" w:color="FFFFFF" w:sz="12"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课外育人满意度</w:t>
            </w:r>
          </w:p>
        </w:tc>
        <w:tc>
          <w:tcPr>
            <w:tcW w:w="1023"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83.48%</w:t>
            </w:r>
          </w:p>
        </w:tc>
        <w:tc>
          <w:tcPr>
            <w:tcW w:w="1122"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continue"/>
            <w:tcBorders>
              <w:top w:val="single" w:color="FFFFFF" w:sz="12"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思想政治课教学满意度</w:t>
            </w:r>
          </w:p>
        </w:tc>
        <w:tc>
          <w:tcPr>
            <w:tcW w:w="1023"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89.20%</w:t>
            </w:r>
          </w:p>
        </w:tc>
        <w:tc>
          <w:tcPr>
            <w:tcW w:w="1122"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vMerge w:val="continue"/>
            <w:tcBorders>
              <w:top w:val="single" w:color="FFFFFF" w:sz="12"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公共基础课（不含思想政治课）教学</w:t>
            </w:r>
          </w:p>
        </w:tc>
        <w:tc>
          <w:tcPr>
            <w:tcW w:w="1023"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86.54%</w:t>
            </w:r>
          </w:p>
        </w:tc>
        <w:tc>
          <w:tcPr>
            <w:tcW w:w="1122"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vMerge w:val="continue"/>
            <w:tcBorders>
              <w:top w:val="single" w:color="FFFFFF" w:sz="12"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专业课教学满意度</w:t>
            </w:r>
          </w:p>
        </w:tc>
        <w:tc>
          <w:tcPr>
            <w:tcW w:w="1023"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86.73%</w:t>
            </w:r>
          </w:p>
        </w:tc>
        <w:tc>
          <w:tcPr>
            <w:tcW w:w="1122"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restart"/>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毕业生</w:t>
            </w:r>
          </w:p>
        </w:tc>
        <w:tc>
          <w:tcPr>
            <w:tcW w:w="4535"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毕业生满意度</w:t>
            </w:r>
          </w:p>
        </w:tc>
        <w:tc>
          <w:tcPr>
            <w:tcW w:w="1023"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95.71%</w:t>
            </w:r>
          </w:p>
        </w:tc>
        <w:tc>
          <w:tcPr>
            <w:tcW w:w="1122"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continue"/>
            <w:tcBorders>
              <w:top w:val="single" w:color="FFFFFF" w:sz="4"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其中：应届毕业生满意度</w:t>
            </w:r>
          </w:p>
        </w:tc>
        <w:tc>
          <w:tcPr>
            <w:tcW w:w="1023"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95.77%</w:t>
            </w:r>
          </w:p>
        </w:tc>
        <w:tc>
          <w:tcPr>
            <w:tcW w:w="1122"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vMerge w:val="continue"/>
            <w:tcBorders>
              <w:top w:val="single" w:color="FFFFFF" w:sz="4" w:space="0"/>
              <w:left w:val="nil"/>
              <w:bottom w:val="single" w:color="FFFFFF" w:sz="4" w:space="0"/>
              <w:right w:val="single" w:color="FFFFFF" w:sz="4" w:space="0"/>
            </w:tcBorders>
            <w:shd w:val="clear" w:color="B5C6EA" w:fill="B5C6EA"/>
            <w:noWrap/>
            <w:vAlign w:val="center"/>
          </w:tcPr>
          <w:p>
            <w:pPr>
              <w:jc w:val="center"/>
              <w:rPr>
                <w:rFonts w:hint="eastAsia" w:ascii="仿宋_GB2312" w:hAnsi="仿宋_GB2312" w:eastAsia="仿宋_GB2312" w:cs="仿宋_GB2312"/>
                <w:i w:val="0"/>
                <w:iCs w:val="0"/>
                <w:color w:val="000000"/>
                <w:sz w:val="21"/>
                <w:szCs w:val="21"/>
                <w:u w:val="none"/>
              </w:rPr>
            </w:pPr>
          </w:p>
        </w:tc>
        <w:tc>
          <w:tcPr>
            <w:tcW w:w="4535"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毕业三年内毕业生满意度</w:t>
            </w:r>
          </w:p>
        </w:tc>
        <w:tc>
          <w:tcPr>
            <w:tcW w:w="1023"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95.06%</w:t>
            </w:r>
          </w:p>
        </w:tc>
        <w:tc>
          <w:tcPr>
            <w:tcW w:w="1122"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教职工</w:t>
            </w:r>
          </w:p>
        </w:tc>
        <w:tc>
          <w:tcPr>
            <w:tcW w:w="4535"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教职工满意度</w:t>
            </w:r>
          </w:p>
        </w:tc>
        <w:tc>
          <w:tcPr>
            <w:tcW w:w="1023"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98.03%</w:t>
            </w:r>
          </w:p>
        </w:tc>
        <w:tc>
          <w:tcPr>
            <w:tcW w:w="1122"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用人单位</w:t>
            </w:r>
          </w:p>
        </w:tc>
        <w:tc>
          <w:tcPr>
            <w:tcW w:w="4535"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用人单位满意度</w:t>
            </w:r>
          </w:p>
        </w:tc>
        <w:tc>
          <w:tcPr>
            <w:tcW w:w="1023"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95.53%</w:t>
            </w:r>
          </w:p>
        </w:tc>
        <w:tc>
          <w:tcPr>
            <w:tcW w:w="1122"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FFFFFF" w:sz="4" w:space="0"/>
              <w:left w:val="nil"/>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家长</w:t>
            </w:r>
          </w:p>
        </w:tc>
        <w:tc>
          <w:tcPr>
            <w:tcW w:w="4535" w:type="dxa"/>
            <w:tcBorders>
              <w:top w:val="single" w:color="FFFFFF" w:sz="4" w:space="0"/>
              <w:left w:val="single" w:color="FFFFFF" w:sz="4" w:space="0"/>
              <w:bottom w:val="nil"/>
              <w:right w:val="single" w:color="FFFFFF" w:sz="4" w:space="0"/>
            </w:tcBorders>
            <w:shd w:val="clear" w:color="D9E1F4" w:fill="D9E1F4"/>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家长满意度</w:t>
            </w:r>
          </w:p>
        </w:tc>
        <w:tc>
          <w:tcPr>
            <w:tcW w:w="1023" w:type="dxa"/>
            <w:tcBorders>
              <w:top w:val="single" w:color="FFFFFF" w:sz="4" w:space="0"/>
              <w:left w:val="single" w:color="FFFFFF" w:sz="4" w:space="0"/>
              <w:bottom w:val="nil"/>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96.07%</w:t>
            </w:r>
          </w:p>
        </w:tc>
        <w:tc>
          <w:tcPr>
            <w:tcW w:w="1122" w:type="dxa"/>
            <w:tcBorders>
              <w:top w:val="single" w:color="FFFFFF" w:sz="4" w:space="0"/>
              <w:left w:val="single" w:color="FFFFFF" w:sz="4" w:space="0"/>
              <w:bottom w:val="nil"/>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11830</w:t>
            </w:r>
          </w:p>
        </w:tc>
      </w:tr>
    </w:tbl>
    <w:p>
      <w:pPr>
        <w:pStyle w:val="16"/>
        <w:rPr>
          <w:rFonts w:hint="default"/>
          <w:lang w:val="en-US" w:eastAsia="zh-CN"/>
        </w:rPr>
      </w:pPr>
    </w:p>
    <w:p>
      <w:pPr>
        <w:pStyle w:val="36"/>
        <w:bidi w:val="0"/>
        <w:rPr>
          <w:rFonts w:hint="default"/>
          <w:lang w:val="en-US" w:eastAsia="zh-CN"/>
        </w:rPr>
      </w:pPr>
      <w:bookmarkStart w:id="44" w:name="_Toc7429"/>
      <w:bookmarkStart w:id="45" w:name="_Toc10292"/>
      <w:r>
        <w:rPr>
          <w:rFonts w:hint="default"/>
          <w:lang w:val="en-US" w:eastAsia="zh-CN"/>
        </w:rPr>
        <w:t>2.4</w:t>
      </w:r>
      <w:r>
        <w:rPr>
          <w:rFonts w:hint="eastAsia"/>
          <w:lang w:val="en-US" w:eastAsia="zh-CN"/>
        </w:rPr>
        <w:t xml:space="preserve"> </w:t>
      </w:r>
      <w:r>
        <w:rPr>
          <w:rFonts w:hint="default"/>
          <w:lang w:val="en-US" w:eastAsia="zh-CN"/>
        </w:rPr>
        <w:t>就业质量</w:t>
      </w:r>
      <w:bookmarkEnd w:id="44"/>
      <w:bookmarkEnd w:id="45"/>
    </w:p>
    <w:p>
      <w:pPr>
        <w:pStyle w:val="16"/>
        <w:rPr>
          <w:rFonts w:hint="default"/>
          <w:lang w:val="en-US" w:eastAsia="zh-CN"/>
        </w:rPr>
      </w:pPr>
      <w:r>
        <w:rPr>
          <w:rFonts w:hint="default"/>
          <w:lang w:val="en-US" w:eastAsia="zh-CN"/>
        </w:rPr>
        <w:t>我市中职教育定位的调整，正从原来单纯的“以就业为导向”转变为“就业与升学并重”。202</w:t>
      </w:r>
      <w:r>
        <w:rPr>
          <w:rFonts w:hint="eastAsia"/>
          <w:lang w:val="en-US" w:eastAsia="zh-CN"/>
        </w:rPr>
        <w:t>3</w:t>
      </w:r>
      <w:r>
        <w:rPr>
          <w:rFonts w:hint="default"/>
          <w:lang w:val="en-US" w:eastAsia="zh-CN"/>
        </w:rPr>
        <w:t>年全市中等职业学校共有毕业生1</w:t>
      </w:r>
      <w:r>
        <w:rPr>
          <w:rFonts w:hint="eastAsia"/>
          <w:lang w:val="en-US" w:eastAsia="zh-CN"/>
        </w:rPr>
        <w:t>0129</w:t>
      </w:r>
      <w:r>
        <w:rPr>
          <w:rFonts w:hint="default"/>
          <w:lang w:val="en-US" w:eastAsia="zh-CN"/>
        </w:rPr>
        <w:t>人，签订就业协议就业、自主创业、灵活就业、参军、出国劳务和升学毕业生</w:t>
      </w:r>
      <w:r>
        <w:rPr>
          <w:rFonts w:hint="eastAsia"/>
          <w:lang w:val="en-US" w:eastAsia="zh-CN"/>
        </w:rPr>
        <w:t>等去向落实人数为9664人。</w:t>
      </w:r>
      <w:r>
        <w:rPr>
          <w:rFonts w:hint="default"/>
          <w:lang w:val="en-US" w:eastAsia="zh-CN"/>
        </w:rPr>
        <w:t>其中</w:t>
      </w:r>
      <w:r>
        <w:rPr>
          <w:rFonts w:hint="eastAsia"/>
          <w:lang w:val="en-US" w:eastAsia="zh-CN"/>
        </w:rPr>
        <w:t>落实去向为本省的人数为8526人，本省去向落实率为88.22%；</w:t>
      </w:r>
      <w:r>
        <w:rPr>
          <w:rFonts w:hint="default"/>
          <w:lang w:val="en-US" w:eastAsia="zh-CN"/>
        </w:rPr>
        <w:t>升学</w:t>
      </w:r>
      <w:r>
        <w:rPr>
          <w:rFonts w:hint="eastAsia"/>
          <w:lang w:val="en-US" w:eastAsia="zh-CN"/>
        </w:rPr>
        <w:t>7055</w:t>
      </w:r>
      <w:r>
        <w:rPr>
          <w:rFonts w:hint="default"/>
          <w:lang w:val="en-US" w:eastAsia="zh-CN"/>
        </w:rPr>
        <w:t>人，就业</w:t>
      </w:r>
      <w:r>
        <w:rPr>
          <w:rFonts w:hint="eastAsia"/>
          <w:lang w:val="en-US" w:eastAsia="zh-CN"/>
        </w:rPr>
        <w:t>1868</w:t>
      </w:r>
      <w:r>
        <w:rPr>
          <w:rFonts w:hint="default"/>
          <w:lang w:val="en-US" w:eastAsia="zh-CN"/>
        </w:rPr>
        <w:t>人</w:t>
      </w:r>
      <w:r>
        <w:rPr>
          <w:rFonts w:hint="eastAsia"/>
          <w:lang w:val="en-US" w:eastAsia="zh-CN"/>
        </w:rPr>
        <w:t>，创业224人；</w:t>
      </w:r>
      <w:r>
        <w:rPr>
          <w:rFonts w:hint="default"/>
          <w:lang w:val="en-US" w:eastAsia="zh-CN"/>
        </w:rPr>
        <w:t>选择就业的毕业生中，在规模以上企业就业人数为</w:t>
      </w:r>
      <w:r>
        <w:rPr>
          <w:rFonts w:hint="eastAsia"/>
          <w:lang w:val="en-US" w:eastAsia="zh-CN"/>
        </w:rPr>
        <w:t>285</w:t>
      </w:r>
      <w:r>
        <w:rPr>
          <w:rFonts w:hint="default"/>
          <w:lang w:val="en-US" w:eastAsia="zh-CN"/>
        </w:rPr>
        <w:t>人，在中小微企业就业人数为</w:t>
      </w:r>
      <w:r>
        <w:rPr>
          <w:rFonts w:hint="eastAsia"/>
          <w:lang w:val="en-US" w:eastAsia="zh-CN"/>
        </w:rPr>
        <w:t>1513</w:t>
      </w:r>
      <w:r>
        <w:rPr>
          <w:rFonts w:hint="default"/>
          <w:lang w:val="en-US" w:eastAsia="zh-CN"/>
        </w:rPr>
        <w:t>人</w:t>
      </w:r>
      <w:r>
        <w:rPr>
          <w:rFonts w:hint="eastAsia"/>
          <w:lang w:val="en-US" w:eastAsia="zh-CN"/>
        </w:rPr>
        <w:t>；</w:t>
      </w:r>
      <w:r>
        <w:rPr>
          <w:rFonts w:hint="default"/>
          <w:lang w:val="en-US" w:eastAsia="zh-CN"/>
        </w:rPr>
        <w:t>专业对口率为</w:t>
      </w:r>
      <w:r>
        <w:rPr>
          <w:rFonts w:hint="eastAsia"/>
          <w:lang w:val="en-US" w:eastAsia="zh-CN"/>
        </w:rPr>
        <w:t>83.94</w:t>
      </w:r>
      <w:r>
        <w:rPr>
          <w:rFonts w:hint="default"/>
          <w:lang w:val="en-US" w:eastAsia="zh-CN"/>
        </w:rPr>
        <w:t>%。就业单位满意率方面，综合满意度为9</w:t>
      </w:r>
      <w:r>
        <w:rPr>
          <w:rFonts w:hint="eastAsia"/>
          <w:lang w:val="en-US" w:eastAsia="zh-CN"/>
        </w:rPr>
        <w:t>5.68</w:t>
      </w:r>
      <w:r>
        <w:rPr>
          <w:rFonts w:hint="default"/>
          <w:lang w:val="en-US" w:eastAsia="zh-CN"/>
        </w:rPr>
        <w:t>%，</w:t>
      </w:r>
      <w:r>
        <w:rPr>
          <w:rFonts w:hint="eastAsia"/>
          <w:lang w:val="en-US" w:eastAsia="zh-CN"/>
        </w:rPr>
        <w:t>其中</w:t>
      </w:r>
      <w:r>
        <w:rPr>
          <w:rFonts w:hint="default"/>
          <w:lang w:val="en-US" w:eastAsia="zh-CN"/>
        </w:rPr>
        <w:t>对毕业生职业素养的满意度为</w:t>
      </w:r>
      <w:r>
        <w:rPr>
          <w:rFonts w:hint="eastAsia"/>
          <w:lang w:val="en-US" w:eastAsia="zh-CN"/>
        </w:rPr>
        <w:t>96.32</w:t>
      </w:r>
      <w:r>
        <w:rPr>
          <w:rFonts w:hint="default"/>
          <w:lang w:val="en-US" w:eastAsia="zh-CN"/>
        </w:rPr>
        <w:t>%，对毕业生职业能力的满意度为95.</w:t>
      </w:r>
      <w:r>
        <w:rPr>
          <w:rFonts w:hint="eastAsia"/>
          <w:lang w:val="en-US" w:eastAsia="zh-CN"/>
        </w:rPr>
        <w:t>03</w:t>
      </w:r>
      <w:r>
        <w:rPr>
          <w:rFonts w:hint="default"/>
          <w:lang w:val="en-US" w:eastAsia="zh-CN"/>
        </w:rPr>
        <w:t>%，均保持在较高水平。</w:t>
      </w:r>
    </w:p>
    <w:p>
      <w:pPr>
        <w:pStyle w:val="38"/>
        <w:bidi w:val="0"/>
        <w:rPr>
          <w:rFonts w:hint="default"/>
          <w:lang w:val="en-US" w:eastAsia="zh-CN"/>
        </w:rPr>
      </w:pPr>
      <w:bookmarkStart w:id="46" w:name="_Toc22406"/>
      <w:r>
        <w:rPr>
          <w:rFonts w:hint="default"/>
          <w:lang w:val="en-US" w:eastAsia="zh-CN"/>
        </w:rPr>
        <w:t>表</w:t>
      </w:r>
      <w:r>
        <w:rPr>
          <w:rFonts w:hint="eastAsia"/>
          <w:lang w:val="en-US" w:eastAsia="zh-CN"/>
        </w:rPr>
        <w:t>6</w:t>
      </w:r>
      <w:r>
        <w:rPr>
          <w:rFonts w:hint="default"/>
          <w:lang w:val="en-US" w:eastAsia="zh-CN"/>
        </w:rPr>
        <w:t>：</w:t>
      </w:r>
      <w:r>
        <w:rPr>
          <w:rFonts w:hint="eastAsia"/>
          <w:lang w:val="en-US" w:eastAsia="zh-CN"/>
        </w:rPr>
        <w:t>中职毕业生</w:t>
      </w:r>
      <w:r>
        <w:rPr>
          <w:rFonts w:hint="default"/>
          <w:lang w:val="en-US" w:eastAsia="zh-CN"/>
        </w:rPr>
        <w:t>历年就业情况统计表</w:t>
      </w:r>
      <w:bookmarkEnd w:id="46"/>
    </w:p>
    <w:tbl>
      <w:tblPr>
        <w:tblStyle w:val="13"/>
        <w:tblpPr w:leftFromText="180" w:rightFromText="180" w:vertAnchor="text" w:horzAnchor="page" w:tblpX="1737" w:tblpY="301"/>
        <w:tblOverlap w:val="never"/>
        <w:tblW w:w="8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1080" w:type="dxa"/>
            <w:tcBorders>
              <w:top w:val="nil"/>
              <w:left w:val="nil"/>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年份</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毕业生数</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就业人数（含升学）</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在规模以上企业就业人数</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在中小微企业就业人数</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专业对口就业率</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就业单位对毕业生职业素养的满意度</w:t>
            </w:r>
          </w:p>
        </w:tc>
        <w:tc>
          <w:tcPr>
            <w:tcW w:w="1080" w:type="dxa"/>
            <w:tcBorders>
              <w:top w:val="nil"/>
              <w:left w:val="single" w:color="FFFFFF" w:sz="4" w:space="0"/>
              <w:bottom w:val="single" w:color="FFFFFF" w:sz="12" w:space="0"/>
              <w:right w:val="nil"/>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就业单位对毕业生职业能力的满意度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FFFFFF" w:sz="12"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2020</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7364</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7268</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1557</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1595</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75.30%</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86.20%</w:t>
            </w:r>
          </w:p>
        </w:tc>
        <w:tc>
          <w:tcPr>
            <w:tcW w:w="1080" w:type="dxa"/>
            <w:tcBorders>
              <w:top w:val="single" w:color="FFFFFF" w:sz="12"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2021</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7948</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7874</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1454</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1740</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86.40%</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96.50%</w:t>
            </w:r>
          </w:p>
        </w:tc>
        <w:tc>
          <w:tcPr>
            <w:tcW w:w="1080"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FFFFFF" w:sz="4" w:space="0"/>
              <w:left w:val="nil"/>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2022</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11105</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11053</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1589</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1629</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91.19%</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95.10%</w:t>
            </w:r>
          </w:p>
        </w:tc>
        <w:tc>
          <w:tcPr>
            <w:tcW w:w="1080"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FFFFFF" w:sz="4" w:space="0"/>
              <w:left w:val="nil"/>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w:t>
            </w:r>
          </w:p>
        </w:tc>
        <w:tc>
          <w:tcPr>
            <w:tcW w:w="1080" w:type="dxa"/>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10129</w:t>
            </w:r>
          </w:p>
        </w:tc>
        <w:tc>
          <w:tcPr>
            <w:tcW w:w="1080" w:type="dxa"/>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8923</w:t>
            </w:r>
          </w:p>
        </w:tc>
        <w:tc>
          <w:tcPr>
            <w:tcW w:w="1080" w:type="dxa"/>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285</w:t>
            </w:r>
          </w:p>
        </w:tc>
        <w:tc>
          <w:tcPr>
            <w:tcW w:w="1080" w:type="dxa"/>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1513</w:t>
            </w:r>
          </w:p>
        </w:tc>
        <w:tc>
          <w:tcPr>
            <w:tcW w:w="1080" w:type="dxa"/>
            <w:tcBorders>
              <w:top w:val="single" w:color="FFFFFF" w:sz="4" w:space="0"/>
              <w:left w:val="single" w:color="FFFFFF" w:sz="4" w:space="0"/>
              <w:bottom w:val="nil"/>
              <w:right w:val="single" w:color="FFFFFF" w:sz="4" w:space="0"/>
            </w:tcBorders>
            <w:shd w:val="clear" w:color="D9E1F4" w:fill="D9E1F4"/>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83.94%</w:t>
            </w:r>
          </w:p>
        </w:tc>
        <w:tc>
          <w:tcPr>
            <w:tcW w:w="1080" w:type="dxa"/>
            <w:tcBorders>
              <w:top w:val="single" w:color="FFFFFF" w:sz="4" w:space="0"/>
              <w:left w:val="single" w:color="FFFFFF" w:sz="4" w:space="0"/>
              <w:bottom w:val="nil"/>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96.32%</w:t>
            </w:r>
          </w:p>
        </w:tc>
        <w:tc>
          <w:tcPr>
            <w:tcW w:w="1080" w:type="dxa"/>
            <w:tcBorders>
              <w:top w:val="single" w:color="FFFFFF" w:sz="4" w:space="0"/>
              <w:left w:val="single" w:color="FFFFFF" w:sz="4" w:space="0"/>
              <w:bottom w:val="nil"/>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95.03%</w:t>
            </w:r>
          </w:p>
        </w:tc>
      </w:tr>
    </w:tbl>
    <w:p>
      <w:pPr>
        <w:pStyle w:val="16"/>
        <w:ind w:left="0" w:leftChars="0" w:firstLine="0" w:firstLineChars="0"/>
        <w:rPr>
          <w:rFonts w:hint="default"/>
          <w:lang w:val="en-US" w:eastAsia="zh-CN"/>
        </w:rPr>
      </w:pPr>
    </w:p>
    <w:p>
      <w:pPr>
        <w:pStyle w:val="16"/>
        <w:rPr>
          <w:rFonts w:hint="default"/>
          <w:lang w:val="en-US" w:eastAsia="zh-CN"/>
        </w:rPr>
      </w:pPr>
      <w:r>
        <w:rPr>
          <w:rFonts w:hint="default"/>
          <w:lang w:val="en-US" w:eastAsia="zh-CN"/>
        </w:rPr>
        <w:t>在毕业生就业方面，各中职学校依据学生的专业、特长、就业愿望，结合产业人才需求，开拓毕业生就业渠道，确保学生就业质量。建立了完善的就业服务体系，与众多知名企业建立了学生实习就业渠道，以学校推荐和学生</w:t>
      </w:r>
      <w:r>
        <w:rPr>
          <w:rFonts w:hint="eastAsia"/>
          <w:lang w:val="en-US" w:eastAsia="zh-CN"/>
        </w:rPr>
        <w:t>自荐</w:t>
      </w:r>
      <w:r>
        <w:rPr>
          <w:rFonts w:hint="default"/>
          <w:lang w:val="en-US" w:eastAsia="zh-CN"/>
        </w:rPr>
        <w:t>等方式对口就业。同时，为贯彻落实省委、省政府鼓励学生到本地企业就业的政策，主动服务于江西、九江本地经济发展，积极投入强产兴城经济主战场。</w:t>
      </w:r>
      <w:r>
        <w:rPr>
          <w:rFonts w:hint="eastAsia"/>
          <w:lang w:val="en-US" w:eastAsia="zh-CN"/>
        </w:rPr>
        <w:t>2023年中职毕业生中留着本地就业的达到1147人，占当年毕业就业人数的61.40%。</w:t>
      </w:r>
      <w:r>
        <w:rPr>
          <w:rFonts w:hint="default"/>
          <w:lang w:val="en-US" w:eastAsia="zh-CN"/>
        </w:rPr>
        <w:t>用人单位对毕业生的职业道德、事业心、责任感，专业业务知识、吃苦精神等给予了较高评价。</w:t>
      </w:r>
    </w:p>
    <w:p>
      <w:pPr>
        <w:pStyle w:val="16"/>
        <w:rPr>
          <w:rFonts w:hint="default"/>
          <w:lang w:val="en-US" w:eastAsia="zh-CN"/>
        </w:rPr>
      </w:pPr>
      <w:r>
        <w:rPr>
          <w:rFonts w:hint="default"/>
          <w:lang w:val="en-US" w:eastAsia="zh-CN"/>
        </w:rPr>
        <w:t>202</w:t>
      </w:r>
      <w:r>
        <w:rPr>
          <w:rFonts w:hint="eastAsia"/>
          <w:lang w:val="en-US" w:eastAsia="zh-CN"/>
        </w:rPr>
        <w:t>3</w:t>
      </w:r>
      <w:r>
        <w:rPr>
          <w:rFonts w:hint="default"/>
          <w:lang w:val="en-US" w:eastAsia="zh-CN"/>
        </w:rPr>
        <w:t>年</w:t>
      </w:r>
      <w:r>
        <w:rPr>
          <w:rFonts w:hint="eastAsia"/>
          <w:lang w:val="en-US" w:eastAsia="zh-CN"/>
        </w:rPr>
        <w:t>九江</w:t>
      </w:r>
      <w:r>
        <w:rPr>
          <w:rFonts w:hint="default"/>
          <w:lang w:val="en-US" w:eastAsia="zh-CN"/>
        </w:rPr>
        <w:t>市</w:t>
      </w:r>
      <w:r>
        <w:rPr>
          <w:rFonts w:hint="eastAsia"/>
          <w:lang w:val="en-US" w:eastAsia="zh-CN"/>
        </w:rPr>
        <w:t>中职</w:t>
      </w:r>
      <w:r>
        <w:rPr>
          <w:rFonts w:hint="default"/>
          <w:lang w:val="en-US" w:eastAsia="zh-CN"/>
        </w:rPr>
        <w:t>毕业生面向三次产业就业人数共计</w:t>
      </w:r>
      <w:r>
        <w:rPr>
          <w:rFonts w:hint="eastAsia"/>
          <w:lang w:val="en-US" w:eastAsia="zh-CN"/>
        </w:rPr>
        <w:t>2584人</w:t>
      </w:r>
      <w:r>
        <w:rPr>
          <w:rFonts w:hint="default"/>
          <w:lang w:val="en-US" w:eastAsia="zh-CN"/>
        </w:rPr>
        <w:t>，其中</w:t>
      </w:r>
      <w:r>
        <w:rPr>
          <w:rFonts w:hint="eastAsia"/>
          <w:lang w:val="en-US" w:eastAsia="zh-CN"/>
        </w:rPr>
        <w:t>面向</w:t>
      </w:r>
      <w:r>
        <w:rPr>
          <w:rFonts w:hint="default"/>
          <w:lang w:val="en-US" w:eastAsia="zh-CN"/>
        </w:rPr>
        <w:t>第一产业</w:t>
      </w:r>
      <w:r>
        <w:rPr>
          <w:rFonts w:hint="eastAsia"/>
          <w:lang w:val="en-US" w:eastAsia="zh-CN"/>
        </w:rPr>
        <w:t>18</w:t>
      </w:r>
      <w:r>
        <w:rPr>
          <w:rFonts w:hint="default"/>
          <w:lang w:val="en-US" w:eastAsia="zh-CN"/>
        </w:rPr>
        <w:t>人，</w:t>
      </w:r>
      <w:r>
        <w:rPr>
          <w:rFonts w:hint="eastAsia"/>
          <w:lang w:val="en-US" w:eastAsia="zh-CN"/>
        </w:rPr>
        <w:t>面向</w:t>
      </w:r>
      <w:r>
        <w:rPr>
          <w:rFonts w:hint="default"/>
          <w:lang w:val="en-US" w:eastAsia="zh-CN"/>
        </w:rPr>
        <w:t>第二产业</w:t>
      </w:r>
      <w:r>
        <w:rPr>
          <w:rFonts w:hint="eastAsia"/>
          <w:lang w:val="en-US" w:eastAsia="zh-CN"/>
        </w:rPr>
        <w:t>1125</w:t>
      </w:r>
      <w:r>
        <w:rPr>
          <w:rFonts w:hint="default"/>
          <w:lang w:val="en-US" w:eastAsia="zh-CN"/>
        </w:rPr>
        <w:t>人，</w:t>
      </w:r>
      <w:r>
        <w:rPr>
          <w:rFonts w:hint="eastAsia"/>
          <w:lang w:val="en-US" w:eastAsia="zh-CN"/>
        </w:rPr>
        <w:t>面向</w:t>
      </w:r>
      <w:r>
        <w:rPr>
          <w:rFonts w:hint="default"/>
          <w:lang w:val="en-US" w:eastAsia="zh-CN"/>
        </w:rPr>
        <w:t>第三产业</w:t>
      </w:r>
      <w:r>
        <w:rPr>
          <w:rFonts w:hint="eastAsia"/>
          <w:lang w:val="en-US" w:eastAsia="zh-CN"/>
        </w:rPr>
        <w:t>1441</w:t>
      </w:r>
      <w:r>
        <w:rPr>
          <w:rFonts w:hint="default"/>
          <w:lang w:val="en-US" w:eastAsia="zh-CN"/>
        </w:rPr>
        <w:t>人。</w:t>
      </w:r>
    </w:p>
    <w:p>
      <w:pPr>
        <w:pStyle w:val="16"/>
        <w:ind w:left="0" w:leftChars="0" w:firstLine="0" w:firstLineChars="0"/>
        <w:jc w:val="center"/>
      </w:pPr>
      <w:r>
        <w:drawing>
          <wp:inline distT="0" distB="0" distL="114300" distR="114300">
            <wp:extent cx="3673475" cy="3028950"/>
            <wp:effectExtent l="4445" t="4445" r="17780"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40"/>
        <w:bidi w:val="0"/>
        <w:rPr>
          <w:rFonts w:hint="default"/>
          <w:lang w:val="en-US" w:eastAsia="zh-CN"/>
        </w:rPr>
      </w:pPr>
      <w:bookmarkStart w:id="47" w:name="_Toc32484"/>
      <w:r>
        <w:rPr>
          <w:rFonts w:hint="eastAsia"/>
          <w:lang w:val="en-US" w:eastAsia="zh-CN"/>
        </w:rPr>
        <w:t>图4：2023届中职毕业生面向三次产业就业人数比例</w:t>
      </w:r>
      <w:bookmarkEnd w:id="47"/>
    </w:p>
    <w:p>
      <w:pPr>
        <w:pStyle w:val="16"/>
        <w:rPr>
          <w:rFonts w:hint="default"/>
          <w:lang w:val="en-US" w:eastAsia="zh-CN"/>
        </w:rPr>
      </w:pPr>
    </w:p>
    <w:p>
      <w:pPr>
        <w:pStyle w:val="36"/>
        <w:bidi w:val="0"/>
        <w:rPr>
          <w:rFonts w:hint="default"/>
          <w:lang w:val="en-US" w:eastAsia="zh-CN"/>
        </w:rPr>
      </w:pPr>
      <w:bookmarkStart w:id="48" w:name="_Toc31556"/>
      <w:bookmarkStart w:id="49" w:name="_Toc1896"/>
      <w:r>
        <w:rPr>
          <w:rFonts w:hint="default"/>
          <w:lang w:val="en-US" w:eastAsia="zh-CN"/>
        </w:rPr>
        <w:t>2.5</w:t>
      </w:r>
      <w:r>
        <w:rPr>
          <w:rFonts w:hint="eastAsia"/>
          <w:lang w:val="en-US" w:eastAsia="zh-CN"/>
        </w:rPr>
        <w:t xml:space="preserve"> </w:t>
      </w:r>
      <w:r>
        <w:rPr>
          <w:rFonts w:hint="default"/>
          <w:lang w:val="en-US" w:eastAsia="zh-CN"/>
        </w:rPr>
        <w:t>升学情况</w:t>
      </w:r>
      <w:bookmarkEnd w:id="48"/>
      <w:bookmarkEnd w:id="49"/>
    </w:p>
    <w:p>
      <w:pPr>
        <w:pStyle w:val="16"/>
        <w:bidi w:val="0"/>
        <w:rPr>
          <w:rFonts w:hint="default"/>
          <w:lang w:val="en-US" w:eastAsia="zh-CN"/>
        </w:rPr>
      </w:pPr>
      <w:r>
        <w:rPr>
          <w:rFonts w:hint="default"/>
          <w:lang w:val="en-US" w:eastAsia="zh-CN"/>
        </w:rPr>
        <w:t>我市各中职学校结合学生需求与学校发展实际，充分鼓励学生通过努力进入高一级的学府深造，并根据自身能力适当调整课程设置。202</w:t>
      </w:r>
      <w:r>
        <w:rPr>
          <w:rFonts w:hint="eastAsia"/>
          <w:lang w:val="en-US" w:eastAsia="zh-CN"/>
        </w:rPr>
        <w:t>3</w:t>
      </w:r>
      <w:r>
        <w:rPr>
          <w:rFonts w:hint="default"/>
          <w:lang w:val="en-US" w:eastAsia="zh-CN"/>
        </w:rPr>
        <w:t>年，我市共有</w:t>
      </w:r>
      <w:r>
        <w:rPr>
          <w:rFonts w:hint="eastAsia"/>
          <w:lang w:val="en-US" w:eastAsia="zh-CN"/>
        </w:rPr>
        <w:t>7055</w:t>
      </w:r>
      <w:r>
        <w:rPr>
          <w:rFonts w:hint="default"/>
          <w:lang w:val="en-US" w:eastAsia="zh-CN"/>
        </w:rPr>
        <w:t>名中职毕业生升学，其中升入本科院校</w:t>
      </w:r>
      <w:r>
        <w:rPr>
          <w:rFonts w:hint="eastAsia"/>
          <w:lang w:val="en-US" w:eastAsia="zh-CN"/>
        </w:rPr>
        <w:t>281</w:t>
      </w:r>
      <w:r>
        <w:rPr>
          <w:rFonts w:hint="default"/>
          <w:lang w:val="en-US" w:eastAsia="zh-CN"/>
        </w:rPr>
        <w:t>人，升入高职高专院校</w:t>
      </w:r>
      <w:r>
        <w:rPr>
          <w:rFonts w:hint="eastAsia"/>
          <w:lang w:val="en-US" w:eastAsia="zh-CN"/>
        </w:rPr>
        <w:t>6774</w:t>
      </w:r>
      <w:r>
        <w:rPr>
          <w:rFonts w:hint="default"/>
          <w:lang w:val="en-US" w:eastAsia="zh-CN"/>
        </w:rPr>
        <w:t>人，升学率达到6</w:t>
      </w:r>
      <w:r>
        <w:rPr>
          <w:rFonts w:hint="eastAsia"/>
          <w:lang w:val="en-US" w:eastAsia="zh-CN"/>
        </w:rPr>
        <w:t>9</w:t>
      </w:r>
      <w:r>
        <w:rPr>
          <w:rFonts w:hint="default"/>
          <w:lang w:val="en-US" w:eastAsia="zh-CN"/>
        </w:rPr>
        <w:t>.</w:t>
      </w:r>
      <w:r>
        <w:rPr>
          <w:rFonts w:hint="eastAsia"/>
          <w:lang w:val="en-US" w:eastAsia="zh-CN"/>
        </w:rPr>
        <w:t>65</w:t>
      </w:r>
      <w:r>
        <w:rPr>
          <w:rFonts w:hint="default"/>
          <w:lang w:val="en-US" w:eastAsia="zh-CN"/>
        </w:rPr>
        <w:t>%，创历史新高。</w:t>
      </w:r>
    </w:p>
    <w:p>
      <w:pPr>
        <w:pStyle w:val="16"/>
        <w:bidi w:val="0"/>
        <w:rPr>
          <w:rFonts w:hint="default"/>
          <w:lang w:val="en-US" w:eastAsia="zh-CN"/>
        </w:rPr>
      </w:pPr>
    </w:p>
    <w:p>
      <w:pPr>
        <w:pStyle w:val="38"/>
        <w:bidi w:val="0"/>
        <w:rPr>
          <w:rFonts w:hint="default"/>
          <w:lang w:val="en-US" w:eastAsia="zh-CN"/>
        </w:rPr>
      </w:pPr>
      <w:bookmarkStart w:id="50" w:name="_Toc25609"/>
      <w:r>
        <w:rPr>
          <w:rFonts w:hint="eastAsia"/>
          <w:lang w:val="en-US" w:eastAsia="zh-CN"/>
        </w:rPr>
        <w:t>表7：中职毕业生历年升学情况统计表</w:t>
      </w:r>
      <w:bookmarkEnd w:id="50"/>
    </w:p>
    <w:tbl>
      <w:tblPr>
        <w:tblStyle w:val="13"/>
        <w:tblW w:w="84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770"/>
        <w:gridCol w:w="770"/>
        <w:gridCol w:w="770"/>
        <w:gridCol w:w="770"/>
        <w:gridCol w:w="771"/>
        <w:gridCol w:w="770"/>
        <w:gridCol w:w="770"/>
        <w:gridCol w:w="770"/>
        <w:gridCol w:w="770"/>
        <w:gridCol w:w="7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70" w:type="dxa"/>
            <w:vMerge w:val="restart"/>
            <w:tcBorders>
              <w:top w:val="nil"/>
              <w:left w:val="nil"/>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年份</w:t>
            </w:r>
          </w:p>
        </w:tc>
        <w:tc>
          <w:tcPr>
            <w:tcW w:w="770" w:type="dxa"/>
            <w:vMerge w:val="restart"/>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毕业生数</w:t>
            </w:r>
          </w:p>
        </w:tc>
        <w:tc>
          <w:tcPr>
            <w:tcW w:w="770" w:type="dxa"/>
            <w:vMerge w:val="restart"/>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升学人数</w:t>
            </w:r>
          </w:p>
        </w:tc>
        <w:tc>
          <w:tcPr>
            <w:tcW w:w="770" w:type="dxa"/>
            <w:vMerge w:val="restart"/>
            <w:tcBorders>
              <w:top w:val="nil"/>
              <w:left w:val="single" w:color="FFFFFF" w:sz="4" w:space="0"/>
              <w:bottom w:val="single" w:color="FFFFFF" w:sz="12" w:space="0"/>
              <w:right w:val="single" w:color="FFFFFF" w:sz="4" w:space="0"/>
            </w:tcBorders>
            <w:shd w:val="clear" w:color="4874CB" w:fill="4874CB"/>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升学率（%）</w:t>
            </w:r>
          </w:p>
        </w:tc>
        <w:tc>
          <w:tcPr>
            <w:tcW w:w="1541" w:type="dxa"/>
            <w:gridSpan w:val="2"/>
            <w:tcBorders>
              <w:top w:val="nil"/>
              <w:left w:val="single" w:color="FFFFFF" w:sz="4" w:space="0"/>
              <w:bottom w:val="single" w:color="FFFFFF" w:sz="12" w:space="0"/>
              <w:right w:val="single" w:color="FFFFFF" w:sz="4" w:space="0"/>
            </w:tcBorders>
            <w:shd w:val="clear" w:color="4874CB" w:fill="4874CB"/>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升学去向</w:t>
            </w:r>
          </w:p>
        </w:tc>
        <w:tc>
          <w:tcPr>
            <w:tcW w:w="3854" w:type="dxa"/>
            <w:gridSpan w:val="5"/>
            <w:tcBorders>
              <w:top w:val="nil"/>
              <w:left w:val="single" w:color="FFFFFF" w:sz="4" w:space="0"/>
              <w:bottom w:val="single" w:color="FFFFFF" w:sz="12" w:space="0"/>
              <w:right w:val="single" w:color="FFFFFF" w:sz="4" w:space="0"/>
            </w:tcBorders>
            <w:shd w:val="clear" w:color="4874CB" w:fill="4874CB"/>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FFFFFF"/>
                <w:sz w:val="21"/>
                <w:szCs w:val="21"/>
                <w:u w:val="none"/>
              </w:rPr>
            </w:pPr>
            <w:r>
              <w:rPr>
                <w:rFonts w:hint="eastAsia" w:ascii="仿宋_GB2312" w:hAnsi="仿宋_GB2312" w:eastAsia="仿宋_GB2312" w:cs="仿宋_GB2312"/>
                <w:b/>
                <w:bCs/>
                <w:i w:val="0"/>
                <w:iCs w:val="0"/>
                <w:color w:val="FFFFFF"/>
                <w:kern w:val="0"/>
                <w:sz w:val="21"/>
                <w:szCs w:val="21"/>
                <w:u w:val="none"/>
                <w:lang w:val="en-US" w:eastAsia="zh-CN" w:bidi="ar"/>
              </w:rPr>
              <w:t>升学方式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4" w:hRule="atLeast"/>
        </w:trPr>
        <w:tc>
          <w:tcPr>
            <w:tcW w:w="770" w:type="dxa"/>
            <w:vMerge w:val="continue"/>
            <w:tcBorders>
              <w:top w:val="nil"/>
              <w:left w:val="nil"/>
              <w:bottom w:val="single" w:color="FFFFFF" w:sz="12" w:space="0"/>
              <w:right w:val="single" w:color="FFFFFF" w:sz="4" w:space="0"/>
            </w:tcBorders>
            <w:shd w:val="clear" w:color="4874CB" w:fill="4874CB"/>
            <w:vAlign w:val="center"/>
          </w:tcPr>
          <w:p>
            <w:pPr>
              <w:jc w:val="center"/>
              <w:rPr>
                <w:rFonts w:hint="eastAsia" w:ascii="仿宋_GB2312" w:hAnsi="仿宋_GB2312" w:eastAsia="仿宋_GB2312" w:cs="仿宋_GB2312"/>
                <w:b/>
                <w:bCs/>
                <w:i w:val="0"/>
                <w:iCs w:val="0"/>
                <w:color w:val="FFFFFF"/>
                <w:sz w:val="21"/>
                <w:szCs w:val="21"/>
                <w:u w:val="none"/>
              </w:rPr>
            </w:pPr>
          </w:p>
        </w:tc>
        <w:tc>
          <w:tcPr>
            <w:tcW w:w="770" w:type="dxa"/>
            <w:vMerge w:val="continue"/>
            <w:tcBorders>
              <w:top w:val="nil"/>
              <w:left w:val="single" w:color="FFFFFF" w:sz="4" w:space="0"/>
              <w:bottom w:val="single" w:color="FFFFFF" w:sz="12" w:space="0"/>
              <w:right w:val="single" w:color="FFFFFF" w:sz="4" w:space="0"/>
            </w:tcBorders>
            <w:shd w:val="clear" w:color="4874CB" w:fill="4874CB"/>
            <w:vAlign w:val="center"/>
          </w:tcPr>
          <w:p>
            <w:pPr>
              <w:jc w:val="center"/>
              <w:rPr>
                <w:rFonts w:hint="eastAsia" w:ascii="仿宋_GB2312" w:hAnsi="仿宋_GB2312" w:eastAsia="仿宋_GB2312" w:cs="仿宋_GB2312"/>
                <w:b/>
                <w:bCs/>
                <w:i w:val="0"/>
                <w:iCs w:val="0"/>
                <w:color w:val="FFFFFF"/>
                <w:sz w:val="21"/>
                <w:szCs w:val="21"/>
                <w:u w:val="none"/>
              </w:rPr>
            </w:pPr>
          </w:p>
        </w:tc>
        <w:tc>
          <w:tcPr>
            <w:tcW w:w="770" w:type="dxa"/>
            <w:vMerge w:val="continue"/>
            <w:tcBorders>
              <w:top w:val="nil"/>
              <w:left w:val="single" w:color="FFFFFF" w:sz="4" w:space="0"/>
              <w:bottom w:val="single" w:color="FFFFFF" w:sz="12" w:space="0"/>
              <w:right w:val="single" w:color="FFFFFF" w:sz="4" w:space="0"/>
            </w:tcBorders>
            <w:shd w:val="clear" w:color="4874CB" w:fill="4874CB"/>
            <w:vAlign w:val="center"/>
          </w:tcPr>
          <w:p>
            <w:pPr>
              <w:jc w:val="center"/>
              <w:rPr>
                <w:rFonts w:hint="eastAsia" w:ascii="仿宋_GB2312" w:hAnsi="仿宋_GB2312" w:eastAsia="仿宋_GB2312" w:cs="仿宋_GB2312"/>
                <w:b/>
                <w:bCs/>
                <w:i w:val="0"/>
                <w:iCs w:val="0"/>
                <w:color w:val="FFFFFF"/>
                <w:sz w:val="21"/>
                <w:szCs w:val="21"/>
                <w:u w:val="none"/>
              </w:rPr>
            </w:pPr>
          </w:p>
        </w:tc>
        <w:tc>
          <w:tcPr>
            <w:tcW w:w="770" w:type="dxa"/>
            <w:vMerge w:val="continue"/>
            <w:tcBorders>
              <w:top w:val="nil"/>
              <w:left w:val="single" w:color="FFFFFF" w:sz="4" w:space="0"/>
              <w:bottom w:val="single" w:color="FFFFFF" w:sz="12" w:space="0"/>
              <w:right w:val="single" w:color="FFFFFF" w:sz="4" w:space="0"/>
            </w:tcBorders>
            <w:shd w:val="clear" w:color="4874CB" w:fill="4874CB"/>
            <w:vAlign w:val="center"/>
          </w:tcPr>
          <w:p>
            <w:pPr>
              <w:jc w:val="center"/>
              <w:rPr>
                <w:rFonts w:hint="eastAsia" w:ascii="仿宋_GB2312" w:hAnsi="仿宋_GB2312" w:eastAsia="仿宋_GB2312" w:cs="仿宋_GB2312"/>
                <w:b/>
                <w:bCs/>
                <w:i w:val="0"/>
                <w:iCs w:val="0"/>
                <w:color w:val="FFFFFF"/>
                <w:sz w:val="21"/>
                <w:szCs w:val="21"/>
                <w:u w:val="none"/>
              </w:rPr>
            </w:pPr>
          </w:p>
        </w:tc>
        <w:tc>
          <w:tcPr>
            <w:tcW w:w="77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升入本科院校人数</w:t>
            </w:r>
          </w:p>
        </w:tc>
        <w:tc>
          <w:tcPr>
            <w:tcW w:w="771"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升入高职高专院校人数</w:t>
            </w:r>
          </w:p>
        </w:tc>
        <w:tc>
          <w:tcPr>
            <w:tcW w:w="77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通过职教高考升学人数</w:t>
            </w:r>
          </w:p>
        </w:tc>
        <w:tc>
          <w:tcPr>
            <w:tcW w:w="77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通过对口单独招生升学人数</w:t>
            </w:r>
          </w:p>
        </w:tc>
        <w:tc>
          <w:tcPr>
            <w:tcW w:w="77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通过中高贯通升学人数</w:t>
            </w:r>
          </w:p>
        </w:tc>
        <w:tc>
          <w:tcPr>
            <w:tcW w:w="770" w:type="dxa"/>
            <w:tcBorders>
              <w:top w:val="single" w:color="FFFFFF" w:sz="12"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通过技能拔尖人才免试升学人数</w:t>
            </w:r>
          </w:p>
        </w:tc>
        <w:tc>
          <w:tcPr>
            <w:tcW w:w="774" w:type="dxa"/>
            <w:tcBorders>
              <w:top w:val="single" w:color="FFFFFF" w:sz="12"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其他途径升学人数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70" w:type="dxa"/>
            <w:tcBorders>
              <w:top w:val="single" w:color="FFFFFF" w:sz="4" w:space="0"/>
              <w:left w:val="nil"/>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2020</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7364</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4116</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55.89</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239</w:t>
            </w:r>
          </w:p>
        </w:tc>
        <w:tc>
          <w:tcPr>
            <w:tcW w:w="771"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3877</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1201</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2140</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737</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774" w:type="dxa"/>
            <w:tcBorders>
              <w:top w:val="single" w:color="FFFFFF" w:sz="4" w:space="0"/>
              <w:left w:val="single" w:color="FFFFFF" w:sz="4" w:space="0"/>
              <w:bottom w:val="single" w:color="FFFFFF" w:sz="4" w:space="0"/>
              <w:right w:val="nil"/>
            </w:tcBorders>
            <w:shd w:val="clear" w:color="D9E1F4" w:fill="D9E1F4"/>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70" w:type="dxa"/>
            <w:tcBorders>
              <w:top w:val="single" w:color="FFFFFF" w:sz="4" w:space="0"/>
              <w:left w:val="nil"/>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2021</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7948</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4680</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59.42</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w:t>
            </w:r>
          </w:p>
        </w:tc>
        <w:tc>
          <w:tcPr>
            <w:tcW w:w="771"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4478</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1426</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2176</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1004</w:t>
            </w:r>
          </w:p>
        </w:tc>
        <w:tc>
          <w:tcPr>
            <w:tcW w:w="770" w:type="dxa"/>
            <w:tcBorders>
              <w:top w:val="single" w:color="FFFFFF" w:sz="4" w:space="0"/>
              <w:left w:val="single" w:color="FFFFFF" w:sz="4" w:space="0"/>
              <w:bottom w:val="single" w:color="FFFFFF" w:sz="4" w:space="0"/>
              <w:right w:val="single" w:color="FFFFFF" w:sz="4" w:space="0"/>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774" w:type="dxa"/>
            <w:tcBorders>
              <w:top w:val="single" w:color="FFFFFF" w:sz="4" w:space="0"/>
              <w:left w:val="single" w:color="FFFFFF" w:sz="4" w:space="0"/>
              <w:bottom w:val="single" w:color="FFFFFF" w:sz="4" w:space="0"/>
              <w:right w:val="nil"/>
            </w:tcBorders>
            <w:shd w:val="clear" w:color="B5C6EA" w:fill="B5C6E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70" w:type="dxa"/>
            <w:tcBorders>
              <w:top w:val="single" w:color="FFFFFF" w:sz="4" w:space="0"/>
              <w:left w:val="nil"/>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2022</w:t>
            </w:r>
          </w:p>
        </w:tc>
        <w:tc>
          <w:tcPr>
            <w:tcW w:w="770"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11105</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7461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67.19</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7313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2793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2758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1614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70" w:type="dxa"/>
            <w:tcBorders>
              <w:top w:val="single" w:color="FFFFFF" w:sz="4" w:space="0"/>
              <w:left w:val="nil"/>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w:t>
            </w:r>
          </w:p>
        </w:tc>
        <w:tc>
          <w:tcPr>
            <w:tcW w:w="770" w:type="dxa"/>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10129</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7055</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69.65</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281</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6774</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2927</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2666</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1267</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0" w:type="auto"/>
            <w:tcBorders>
              <w:top w:val="single" w:color="FFFFFF" w:sz="4" w:space="0"/>
              <w:left w:val="single" w:color="FFFFFF" w:sz="4" w:space="0"/>
              <w:bottom w:val="nil"/>
              <w:right w:val="nil"/>
            </w:tcBorders>
            <w:shd w:val="clear" w:color="B5C6EA" w:fill="B5C6EA"/>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175</w:t>
            </w:r>
          </w:p>
        </w:tc>
      </w:tr>
    </w:tbl>
    <w:p>
      <w:pPr>
        <w:pStyle w:val="16"/>
        <w:ind w:left="0" w:leftChars="0" w:firstLine="0" w:firstLineChars="0"/>
        <w:rPr>
          <w:rFonts w:hint="default"/>
          <w:lang w:val="en-US" w:eastAsia="zh-CN"/>
        </w:rPr>
      </w:pPr>
    </w:p>
    <w:p>
      <w:pPr>
        <w:pStyle w:val="36"/>
        <w:bidi w:val="0"/>
        <w:rPr>
          <w:rFonts w:hint="default"/>
          <w:lang w:val="en-US" w:eastAsia="zh-CN"/>
        </w:rPr>
      </w:pPr>
      <w:bookmarkStart w:id="51" w:name="_Toc18880"/>
      <w:bookmarkStart w:id="52" w:name="_Toc29663"/>
      <w:r>
        <w:rPr>
          <w:rFonts w:hint="default"/>
          <w:lang w:val="en-US" w:eastAsia="zh-CN"/>
        </w:rPr>
        <w:t>2.</w:t>
      </w:r>
      <w:r>
        <w:rPr>
          <w:rFonts w:hint="eastAsia"/>
          <w:lang w:val="en-US" w:eastAsia="zh-CN"/>
        </w:rPr>
        <w:t xml:space="preserve">6 </w:t>
      </w:r>
      <w:r>
        <w:rPr>
          <w:rFonts w:hint="default"/>
          <w:lang w:val="en-US" w:eastAsia="zh-CN"/>
        </w:rPr>
        <w:t>技能大赛</w:t>
      </w:r>
      <w:bookmarkEnd w:id="51"/>
      <w:bookmarkEnd w:id="52"/>
    </w:p>
    <w:p>
      <w:pPr>
        <w:pStyle w:val="16"/>
        <w:bidi w:val="0"/>
        <w:rPr>
          <w:rFonts w:hint="default"/>
          <w:color w:val="auto"/>
          <w:lang w:val="en-US" w:eastAsia="zh-CN"/>
        </w:rPr>
      </w:pPr>
      <w:r>
        <w:rPr>
          <w:rFonts w:hint="eastAsia"/>
          <w:color w:val="auto"/>
          <w:lang w:val="en-US" w:eastAsia="zh-CN"/>
        </w:rPr>
        <w:t>各中职</w:t>
      </w:r>
      <w:r>
        <w:rPr>
          <w:rFonts w:hint="default"/>
          <w:color w:val="auto"/>
          <w:lang w:val="en-US" w:eastAsia="zh-CN"/>
        </w:rPr>
        <w:t>学校高度重视技能大赛的引领作用，坚持以赛促教、以赛促学，引导深化教育教学内涵，积极构建“岗课赛证”融合的人才培养模式，促进专业人才链培育与本地产业链对接，培养选拔出一大批技能型人才，源源不断输往企业生产管理一线，职业教育服务地方经济发展能力大幅提升。</w:t>
      </w:r>
    </w:p>
    <w:p>
      <w:pPr>
        <w:pStyle w:val="16"/>
        <w:bidi w:val="0"/>
        <w:rPr>
          <w:rFonts w:hint="eastAsia"/>
          <w:color w:val="auto"/>
          <w:lang w:val="en-US" w:eastAsia="zh-CN"/>
        </w:rPr>
      </w:pPr>
      <w:r>
        <w:rPr>
          <w:rFonts w:hint="eastAsia"/>
          <w:color w:val="auto"/>
          <w:lang w:val="en-US" w:eastAsia="zh-CN"/>
        </w:rPr>
        <w:t>2023年全市各中职学校学生共获得国家级技能大赛一等奖1名，二等奖1名，三等奖2名；获省级技能大赛一等奖19名，二等奖38名，三等奖62名。</w:t>
      </w:r>
    </w:p>
    <w:p>
      <w:pPr>
        <w:pStyle w:val="16"/>
        <w:bidi w:val="0"/>
        <w:ind w:left="0" w:leftChars="0" w:firstLine="0" w:firstLineChars="0"/>
        <w:jc w:val="center"/>
        <w:rPr>
          <w:rFonts w:hint="eastAsia"/>
          <w:color w:val="auto"/>
          <w:lang w:val="en-US" w:eastAsia="zh-CN"/>
        </w:rPr>
      </w:pPr>
      <w:r>
        <w:rPr>
          <w:rFonts w:hint="eastAsia"/>
          <w:color w:val="auto"/>
          <w:lang w:val="en-US" w:eastAsia="zh-CN"/>
        </w:rPr>
        <w:drawing>
          <wp:inline distT="0" distB="0" distL="114300" distR="114300">
            <wp:extent cx="5226685" cy="3924300"/>
            <wp:effectExtent l="0" t="0" r="12065" b="0"/>
            <wp:docPr id="7" name="图片 7" descr="微信图片_2024011916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40119164756"/>
                    <pic:cNvPicPr>
                      <a:picLocks noChangeAspect="1"/>
                    </pic:cNvPicPr>
                  </pic:nvPicPr>
                  <pic:blipFill>
                    <a:blip r:embed="rId12"/>
                    <a:stretch>
                      <a:fillRect/>
                    </a:stretch>
                  </pic:blipFill>
                  <pic:spPr>
                    <a:xfrm>
                      <a:off x="0" y="0"/>
                      <a:ext cx="5226685" cy="3924300"/>
                    </a:xfrm>
                    <a:prstGeom prst="rect">
                      <a:avLst/>
                    </a:prstGeom>
                  </pic:spPr>
                </pic:pic>
              </a:graphicData>
            </a:graphic>
          </wp:inline>
        </w:drawing>
      </w:r>
    </w:p>
    <w:p>
      <w:pPr>
        <w:pStyle w:val="40"/>
        <w:bidi w:val="0"/>
        <w:rPr>
          <w:rFonts w:hint="default"/>
          <w:lang w:val="en-US" w:eastAsia="zh-CN"/>
        </w:rPr>
      </w:pPr>
      <w:bookmarkStart w:id="53" w:name="_Toc30320"/>
      <w:r>
        <w:rPr>
          <w:rFonts w:hint="eastAsia"/>
          <w:lang w:val="en-US" w:eastAsia="zh-CN"/>
        </w:rPr>
        <w:t>图5：彭泽中专学生获得全国技能大赛一等奖</w:t>
      </w:r>
      <w:bookmarkEnd w:id="53"/>
    </w:p>
    <w:p>
      <w:pPr>
        <w:pStyle w:val="37"/>
        <w:bidi w:val="0"/>
        <w:rPr>
          <w:rFonts w:hint="default"/>
          <w:lang w:val="en-US" w:eastAsia="zh-CN"/>
        </w:rPr>
      </w:pPr>
      <w:bookmarkStart w:id="54" w:name="_Toc10980"/>
      <w:r>
        <w:rPr>
          <w:rFonts w:hint="eastAsia"/>
          <w:lang w:val="en-US" w:eastAsia="zh-CN"/>
        </w:rPr>
        <w:t>案例3：柴桑中职举办TCL（智能制造）专业第二届技能大赛</w:t>
      </w:r>
      <w:bookmarkEnd w:id="54"/>
    </w:p>
    <w:p>
      <w:pPr>
        <w:pStyle w:val="39"/>
        <w:bidi w:val="0"/>
        <w:rPr>
          <w:rFonts w:hint="default"/>
          <w:szCs w:val="24"/>
          <w:lang w:val="en-US" w:eastAsia="zh-CN"/>
        </w:rPr>
      </w:pPr>
      <w:r>
        <w:rPr>
          <w:rFonts w:hint="default"/>
          <w:szCs w:val="24"/>
          <w:lang w:val="en-US" w:eastAsia="zh-CN"/>
        </w:rPr>
        <w:t>知识改变命运，技能成就未来。为期一个月的柴桑中职学校TCL（智能制造）专业第二届技能大赛圆满落幕，2023年6月16日，表彰总结大会在学校报告厅隆重举行。“说到做到、快乐学习、大国工匠、精益求精”学生的口号响彻报告厅</w:t>
      </w:r>
    </w:p>
    <w:p>
      <w:pPr>
        <w:pStyle w:val="39"/>
        <w:bidi w:val="0"/>
        <w:rPr>
          <w:rFonts w:hint="default"/>
          <w:szCs w:val="24"/>
          <w:lang w:val="en-US" w:eastAsia="zh-CN"/>
        </w:rPr>
      </w:pPr>
      <w:r>
        <w:rPr>
          <w:rFonts w:hint="default"/>
          <w:szCs w:val="24"/>
          <w:lang w:val="en-US" w:eastAsia="zh-CN"/>
        </w:rPr>
        <w:t>会上共表彰技能大赛优秀奖4人，技能大赛一、二、三等奖共6人，另外还表彰了优秀学生、优秀班干部、道德模范、班级进步学生以及优秀班主任。学校领导为获奖学生颁发获奖证书、奖杯和奖金</w:t>
      </w:r>
      <w:r>
        <w:rPr>
          <w:rFonts w:hint="eastAsia"/>
          <w:szCs w:val="24"/>
          <w:lang w:val="en-US" w:eastAsia="zh-CN"/>
        </w:rPr>
        <w:t>，</w:t>
      </w:r>
      <w:r>
        <w:rPr>
          <w:rFonts w:hint="default"/>
          <w:szCs w:val="24"/>
          <w:lang w:val="en-US" w:eastAsia="zh-CN"/>
        </w:rPr>
        <w:t>获奖学生与家长代表做了发言。</w:t>
      </w:r>
    </w:p>
    <w:p>
      <w:pPr>
        <w:pStyle w:val="39"/>
        <w:bidi w:val="0"/>
        <w:rPr>
          <w:rFonts w:hint="default"/>
          <w:szCs w:val="24"/>
          <w:lang w:val="en-US" w:eastAsia="zh-CN"/>
        </w:rPr>
      </w:pPr>
      <w:r>
        <w:rPr>
          <w:rFonts w:hint="default"/>
          <w:szCs w:val="24"/>
          <w:lang w:val="en-US" w:eastAsia="zh-CN"/>
        </w:rPr>
        <w:t>据了解，本学期以来柴桑中职学校TCL（智能制造）专业得到了高速的发展与提高，智能制造技术应用示范特色专业及实训基地建设项目各项工作得到稳步推进，进一步改善了老师及同学们的实操教学环境及技能提升。</w:t>
      </w:r>
    </w:p>
    <w:p>
      <w:pPr>
        <w:pStyle w:val="39"/>
        <w:bidi w:val="0"/>
        <w:rPr>
          <w:rFonts w:hint="default"/>
          <w:szCs w:val="24"/>
          <w:lang w:val="en-US" w:eastAsia="zh-CN"/>
        </w:rPr>
      </w:pPr>
      <w:r>
        <w:rPr>
          <w:rFonts w:hint="default"/>
          <w:szCs w:val="24"/>
          <w:lang w:val="en-US" w:eastAsia="zh-CN"/>
        </w:rPr>
        <w:t>为树立典型、激励先进、鞭策后进，在2023年春季学期柴桑区中等职业技术学校、江西省启润教育科技有限公司联合举办的TCL（智能制造）专业第二届“技能大赛”中取得了圆满成功。</w:t>
      </w:r>
    </w:p>
    <w:bookmarkEnd w:id="17"/>
    <w:p>
      <w:pPr>
        <w:rPr>
          <w:rFonts w:hint="eastAsia"/>
          <w:szCs w:val="24"/>
          <w:lang w:val="en-US" w:eastAsia="zh-CN"/>
        </w:rPr>
      </w:pPr>
      <w:r>
        <w:rPr>
          <w:rFonts w:hint="eastAsia"/>
          <w:szCs w:val="24"/>
          <w:lang w:val="en-US" w:eastAsia="zh-CN"/>
        </w:rPr>
        <w:br w:type="page"/>
      </w:r>
    </w:p>
    <w:p>
      <w:pPr>
        <w:pStyle w:val="15"/>
        <w:numPr>
          <w:ilvl w:val="0"/>
          <w:numId w:val="0"/>
        </w:numPr>
        <w:bidi w:val="0"/>
        <w:ind w:left="0" w:leftChars="0" w:firstLine="640" w:firstLineChars="200"/>
        <w:rPr>
          <w:rFonts w:hint="eastAsia"/>
          <w:lang w:val="en-US" w:eastAsia="zh-CN"/>
        </w:rPr>
      </w:pPr>
      <w:bookmarkStart w:id="55" w:name="_Toc21089"/>
      <w:bookmarkStart w:id="56" w:name="_Toc19951"/>
      <w:r>
        <w:rPr>
          <w:rFonts w:hint="eastAsia"/>
          <w:lang w:val="en-US" w:eastAsia="zh-CN"/>
        </w:rPr>
        <w:t>3 服务贡献</w:t>
      </w:r>
      <w:bookmarkEnd w:id="55"/>
      <w:bookmarkEnd w:id="56"/>
    </w:p>
    <w:p>
      <w:pPr>
        <w:pStyle w:val="36"/>
        <w:bidi w:val="0"/>
        <w:rPr>
          <w:rFonts w:hint="eastAsia"/>
          <w:lang w:val="en-US" w:eastAsia="zh-CN"/>
        </w:rPr>
      </w:pPr>
      <w:bookmarkStart w:id="57" w:name="_Toc26704"/>
      <w:r>
        <w:rPr>
          <w:rFonts w:hint="eastAsia"/>
          <w:lang w:val="en-US" w:eastAsia="zh-CN"/>
        </w:rPr>
        <w:t>3.1 服务经济</w:t>
      </w:r>
      <w:bookmarkEnd w:id="57"/>
    </w:p>
    <w:p>
      <w:pPr>
        <w:pStyle w:val="16"/>
        <w:bidi w:val="0"/>
        <w:rPr>
          <w:rFonts w:hint="default"/>
          <w:color w:val="FF0000"/>
          <w:lang w:val="en-US" w:eastAsia="zh-CN"/>
        </w:rPr>
      </w:pPr>
      <w:r>
        <w:rPr>
          <w:rFonts w:hint="default"/>
          <w:lang w:val="en-US" w:eastAsia="zh-CN"/>
        </w:rPr>
        <w:t>各中职学校服务省、市重大战略，重点服务制造业高端化、智能化、绿色化发展，以及战略性新兴产业融合集群发展。紧密围绕“1269”行动计划及我省重点产业链，提升专业与产业契合度</w:t>
      </w:r>
      <w:r>
        <w:rPr>
          <w:rFonts w:hint="eastAsia"/>
          <w:lang w:val="en-US" w:eastAsia="zh-CN"/>
        </w:rPr>
        <w:t>。</w:t>
      </w:r>
    </w:p>
    <w:p>
      <w:pPr>
        <w:pStyle w:val="16"/>
        <w:bidi w:val="0"/>
        <w:rPr>
          <w:rFonts w:hint="default"/>
          <w:lang w:val="en-US" w:eastAsia="zh-CN"/>
        </w:rPr>
      </w:pPr>
      <w:r>
        <w:rPr>
          <w:rFonts w:hint="eastAsia"/>
          <w:lang w:val="en-US" w:eastAsia="zh-CN"/>
        </w:rPr>
        <w:t>各中职学校正在</w:t>
      </w:r>
      <w:r>
        <w:rPr>
          <w:rFonts w:hint="default"/>
          <w:lang w:val="en-US" w:eastAsia="zh-CN"/>
        </w:rPr>
        <w:t>充分发挥县级中等职业学校学习中心作用，建设</w:t>
      </w:r>
      <w:r>
        <w:rPr>
          <w:rFonts w:hint="eastAsia"/>
          <w:lang w:val="en-US" w:eastAsia="zh-CN"/>
        </w:rPr>
        <w:t>成为</w:t>
      </w:r>
      <w:r>
        <w:rPr>
          <w:rFonts w:hint="default"/>
          <w:lang w:val="en-US" w:eastAsia="zh-CN"/>
        </w:rPr>
        <w:t>服务当地经济社会发展，面向当地各类学习群体，以中等职业学校为主体，兼具技术技能人才培养、农村劳动力转移培训、技术培训与推广、扶贫开发培训、义务教育学生职业启蒙、中小学生劳动教育、社区教育等综合功能的办学实体。</w:t>
      </w:r>
    </w:p>
    <w:p>
      <w:pPr>
        <w:pStyle w:val="37"/>
        <w:bidi w:val="0"/>
        <w:rPr>
          <w:rFonts w:hint="default"/>
          <w:lang w:val="en-US" w:eastAsia="zh-CN"/>
        </w:rPr>
      </w:pPr>
      <w:bookmarkStart w:id="58" w:name="_Toc15000"/>
      <w:r>
        <w:rPr>
          <w:rFonts w:hint="default"/>
          <w:lang w:val="en-US" w:eastAsia="zh-CN"/>
        </w:rPr>
        <w:t>案例</w:t>
      </w:r>
      <w:r>
        <w:rPr>
          <w:rFonts w:hint="eastAsia"/>
          <w:lang w:val="en-US" w:eastAsia="zh-CN"/>
        </w:rPr>
        <w:t>4</w:t>
      </w:r>
      <w:r>
        <w:rPr>
          <w:rFonts w:hint="default"/>
          <w:lang w:val="en-US" w:eastAsia="zh-CN"/>
        </w:rPr>
        <w:t>：</w:t>
      </w:r>
      <w:r>
        <w:rPr>
          <w:rFonts w:hint="eastAsia"/>
          <w:lang w:val="en-US" w:eastAsia="zh-CN"/>
        </w:rPr>
        <w:t>九江科技中专</w:t>
      </w:r>
      <w:r>
        <w:rPr>
          <w:rFonts w:hint="default"/>
          <w:lang w:val="en-US" w:eastAsia="zh-CN"/>
        </w:rPr>
        <w:t>“产教融合、校企共育”谱新篇</w:t>
      </w:r>
      <w:bookmarkEnd w:id="58"/>
      <w:r>
        <w:rPr>
          <w:rFonts w:hint="default"/>
          <w:lang w:val="en-US" w:eastAsia="zh-CN"/>
        </w:rPr>
        <w:t xml:space="preserve"> </w:t>
      </w:r>
    </w:p>
    <w:p>
      <w:pPr>
        <w:pStyle w:val="39"/>
        <w:bidi w:val="0"/>
        <w:rPr>
          <w:rFonts w:hint="default"/>
          <w:lang w:val="en-US" w:eastAsia="zh-CN"/>
        </w:rPr>
      </w:pPr>
      <w:r>
        <w:rPr>
          <w:rFonts w:hint="default"/>
          <w:lang w:val="en-US" w:eastAsia="zh-CN"/>
        </w:rPr>
        <w:t>一、实施背景。当代中国，经济正在由高速增长向高质量发展转变，产业也由“中国制造”向“中国智造”、“中国创造”的要求转型升级，人才需求发生了根本性变化。职业学校必须紧跟时代要求，深层次解决教育中出现的问题。</w:t>
      </w:r>
    </w:p>
    <w:p>
      <w:pPr>
        <w:pStyle w:val="39"/>
        <w:bidi w:val="0"/>
        <w:rPr>
          <w:rFonts w:hint="default"/>
          <w:lang w:val="en-US" w:eastAsia="zh-CN"/>
        </w:rPr>
      </w:pPr>
      <w:r>
        <w:rPr>
          <w:rFonts w:hint="default"/>
          <w:lang w:val="en-US" w:eastAsia="zh-CN"/>
        </w:rPr>
        <w:t>二、主要做法。一是订单培养，校企共育。学校与东南（福建）汽车工业有限公司战略合作协议，在学生订单式培养、实训实习基地建设、师资培训和学生实习就业等进行了全方位合作。还与车轻松汽车美容养护会所、新大洲本田摩托有限公司、九江市开发区酷车汇汽车服务会所和九江市新运通汽车技术服务站等汽车类相关企业开展了形式多样的校企合作，为专业教学提供了优质平台。二是紧跟市场需求，为专业建设注入新的活力。三是共同开展师资队伍建设。</w:t>
      </w:r>
    </w:p>
    <w:p>
      <w:pPr>
        <w:pStyle w:val="39"/>
        <w:bidi w:val="0"/>
        <w:rPr>
          <w:rFonts w:hint="default"/>
          <w:lang w:val="en-US" w:eastAsia="zh-CN"/>
        </w:rPr>
      </w:pPr>
      <w:r>
        <w:rPr>
          <w:rFonts w:hint="default"/>
          <w:lang w:val="en-US" w:eastAsia="zh-CN"/>
        </w:rPr>
        <w:t>三、主要成果与成效。一是提升了学生综合素养。二是服务了当地经济社会发展。三是促进了老师教学水平的提高。四是专业毕业生得到了社会的好评。</w:t>
      </w:r>
    </w:p>
    <w:p>
      <w:pPr>
        <w:pStyle w:val="39"/>
        <w:bidi w:val="0"/>
        <w:rPr>
          <w:rFonts w:hint="default"/>
          <w:lang w:val="en-US" w:eastAsia="zh-CN"/>
        </w:rPr>
      </w:pPr>
      <w:r>
        <w:rPr>
          <w:rFonts w:hint="default"/>
          <w:lang w:val="en-US" w:eastAsia="zh-CN"/>
        </w:rPr>
        <w:t>四、经验总结。一是企业的支持很重要。二是校企合作模式选择要具体问题具体分析。三是注重提高学生职业素养及职业规划的能力。</w:t>
      </w:r>
    </w:p>
    <w:p>
      <w:pPr>
        <w:pStyle w:val="39"/>
        <w:bidi w:val="0"/>
        <w:rPr>
          <w:rFonts w:hint="default"/>
          <w:lang w:val="en-US" w:eastAsia="zh-CN"/>
        </w:rPr>
      </w:pPr>
      <w:r>
        <w:rPr>
          <w:rFonts w:hint="default"/>
          <w:lang w:val="en-US" w:eastAsia="zh-CN"/>
        </w:rPr>
        <w:t>五、推广应用。根据合作企业的要求，在实施专业教学过程中，有针对性的开展分模块教学，比如汽车专业就可以按技能目标分为汽车钣金涂装、汽车机电维修、汽车营销服务等模块，从而使学生基础知识扎实的情况，精练所选技能。</w:t>
      </w:r>
    </w:p>
    <w:p>
      <w:pPr>
        <w:pStyle w:val="36"/>
        <w:bidi w:val="0"/>
        <w:rPr>
          <w:rFonts w:hint="default"/>
          <w:lang w:val="en-US" w:eastAsia="zh-CN"/>
        </w:rPr>
      </w:pPr>
      <w:bookmarkStart w:id="59" w:name="_Toc19114"/>
      <w:r>
        <w:rPr>
          <w:rFonts w:hint="eastAsia"/>
          <w:lang w:val="en-US" w:eastAsia="zh-CN"/>
        </w:rPr>
        <w:t>3.2 服务社会</w:t>
      </w:r>
      <w:bookmarkEnd w:id="59"/>
    </w:p>
    <w:p>
      <w:pPr>
        <w:pStyle w:val="16"/>
        <w:rPr>
          <w:rFonts w:hint="default"/>
          <w:lang w:val="en-US" w:eastAsia="zh-CN"/>
        </w:rPr>
      </w:pPr>
      <w:r>
        <w:rPr>
          <w:rFonts w:hint="eastAsia"/>
          <w:lang w:val="en-US" w:eastAsia="zh-CN"/>
        </w:rPr>
        <w:t>各中职学校把办好职业学校与繁荣经济、促进就业、消除贫困、维护稳定紧密结合起来，服务经济发展方式的转变，服务产业结构的转移和升级，满足广大求学者、求技者的需要。各中职学校持续加大社会培训力度，拓宽培训工种并积极开展职业培训，帮助当地掌握就业所需的技能和知识，提高其就业竞争力。2023年各中职学校共开展非学历培训项目数72个，共计8951学时，其中公益项目1214学时。非学历培训到账经费总计252.88万元。</w:t>
      </w:r>
    </w:p>
    <w:p>
      <w:pPr>
        <w:pStyle w:val="37"/>
        <w:bidi w:val="0"/>
        <w:rPr>
          <w:rFonts w:hint="default"/>
          <w:lang w:val="en-US" w:eastAsia="zh-CN"/>
        </w:rPr>
      </w:pPr>
      <w:bookmarkStart w:id="60" w:name="_Toc14374"/>
      <w:r>
        <w:rPr>
          <w:rFonts w:hint="eastAsia"/>
          <w:lang w:val="en-US" w:eastAsia="zh-CN"/>
        </w:rPr>
        <w:t>案例5：瑞昌中专建设退役军人培训中心</w:t>
      </w:r>
      <w:bookmarkEnd w:id="60"/>
    </w:p>
    <w:p>
      <w:pPr>
        <w:pStyle w:val="39"/>
        <w:bidi w:val="0"/>
        <w:rPr>
          <w:rFonts w:hint="eastAsia"/>
          <w:lang w:val="en-US" w:eastAsia="zh-CN"/>
        </w:rPr>
      </w:pPr>
      <w:r>
        <w:rPr>
          <w:rFonts w:hint="eastAsia"/>
          <w:lang w:val="en-US" w:eastAsia="zh-CN"/>
        </w:rPr>
        <w:t>为进一步增强我市退役军人知识储备，提升就业竞争能力，帮助退役军人加快角色转变、积极适应岗位，推动退役军人在家乡建设上贡献自己的力量。</w:t>
      </w:r>
    </w:p>
    <w:p>
      <w:pPr>
        <w:pStyle w:val="39"/>
        <w:bidi w:val="0"/>
        <w:rPr>
          <w:rFonts w:hint="eastAsia"/>
          <w:lang w:val="en-US" w:eastAsia="zh-CN"/>
        </w:rPr>
      </w:pPr>
      <w:r>
        <w:rPr>
          <w:rFonts w:hint="eastAsia"/>
          <w:lang w:val="en-US" w:eastAsia="zh-CN"/>
        </w:rPr>
        <w:t>从2022年12月份，瑞昌市整合全市退役军人培训资源，依托瑞昌中等专业学校，设立了“瑞昌市退役军人培训中心”，并认真组织开展了瑞昌市退役军人的培训工作。中心实行“三专”模式，有专（兼）职讲师10余名，编制有专业教材，配有独立办公室、多媒体培训教室，为退役军人提供良好的师资力量和学习环境。</w:t>
      </w:r>
    </w:p>
    <w:p>
      <w:pPr>
        <w:pStyle w:val="39"/>
        <w:bidi w:val="0"/>
        <w:rPr>
          <w:rFonts w:hint="eastAsia"/>
          <w:lang w:val="en-US" w:eastAsia="zh-CN"/>
        </w:rPr>
      </w:pPr>
      <w:r>
        <w:rPr>
          <w:rFonts w:hint="eastAsia"/>
          <w:lang w:val="en-US" w:eastAsia="zh-CN"/>
        </w:rPr>
        <w:t>今年9月正式招收培训人员17人，10月底举行了开班仪式，培训周期为3个月，有效地提升了退役军人的整体素质。首次参培人员包含了“电子技术应用”“烹饪（西点）”“数控技术应用”“计算机应用”等热门技能。</w:t>
      </w:r>
    </w:p>
    <w:p>
      <w:pPr>
        <w:pStyle w:val="16"/>
        <w:rPr>
          <w:rFonts w:hint="eastAsia"/>
          <w:lang w:val="en-US" w:eastAsia="zh-CN"/>
        </w:rPr>
      </w:pPr>
      <w:r>
        <w:rPr>
          <w:rFonts w:hint="eastAsia"/>
          <w:lang w:val="en-US" w:eastAsia="zh-CN"/>
        </w:rPr>
        <w:t>2023年是巩固拓展脱贫攻坚成果同乡村振兴有效衔接的关键之年。各中职学校持续深入贯彻落实习近平总书记关于巩固拓展脱贫攻坚成果同乡村振兴有效衔接的系列重要讲话指示精神及省、市决策部署，统筹优势资源力量，用心用情用力做好乡村振兴定点帮扶工作。</w:t>
      </w:r>
    </w:p>
    <w:p>
      <w:pPr>
        <w:pStyle w:val="16"/>
        <w:rPr>
          <w:rFonts w:hint="eastAsia"/>
          <w:lang w:val="en-US" w:eastAsia="zh-CN"/>
        </w:rPr>
      </w:pPr>
      <w:r>
        <w:rPr>
          <w:rFonts w:hint="eastAsia"/>
          <w:lang w:val="en-US" w:eastAsia="zh-CN"/>
        </w:rPr>
        <w:t>各校多次选派师生参与暑期三下乡和技能进社区等活动，走进社区、乡村开展了电子电器维修、服装修补、汽车清洗、科普支农等为民服务，充分发挥了中职学校学生的技术技能优势，在活动中服务了群众，取得了良好效果。</w:t>
      </w:r>
    </w:p>
    <w:p>
      <w:pPr>
        <w:pStyle w:val="16"/>
        <w:ind w:left="0" w:leftChars="0" w:firstLine="0" w:firstLineChars="0"/>
        <w:rPr>
          <w:rFonts w:hint="eastAsia"/>
          <w:lang w:val="en-US" w:eastAsia="zh-CN"/>
        </w:rPr>
      </w:pPr>
    </w:p>
    <w:p>
      <w:pPr>
        <w:pStyle w:val="16"/>
        <w:ind w:left="0" w:leftChars="0" w:firstLine="0" w:firstLineChars="0"/>
        <w:rPr>
          <w:rFonts w:hint="eastAsia"/>
          <w:lang w:val="en-US" w:eastAsia="zh-CN"/>
        </w:rPr>
      </w:pPr>
    </w:p>
    <w:p>
      <w:pPr>
        <w:pStyle w:val="16"/>
        <w:ind w:left="0" w:leftChars="0" w:firstLine="0" w:firstLineChars="0"/>
        <w:rPr>
          <w:rFonts w:hint="eastAsia"/>
          <w:lang w:val="en-US" w:eastAsia="zh-CN"/>
        </w:rPr>
      </w:pPr>
      <w:r>
        <w:rPr>
          <w:rFonts w:hint="eastAsia"/>
          <w:lang w:val="en-US" w:eastAsia="zh-CN"/>
        </w:rPr>
        <w:drawing>
          <wp:inline distT="0" distB="0" distL="114300" distR="114300">
            <wp:extent cx="5145405" cy="3850005"/>
            <wp:effectExtent l="0" t="0" r="17145" b="17145"/>
            <wp:docPr id="4" name="图片 4" descr="11"/>
            <wp:cNvGraphicFramePr/>
            <a:graphic xmlns:a="http://schemas.openxmlformats.org/drawingml/2006/main">
              <a:graphicData uri="http://schemas.openxmlformats.org/drawingml/2006/picture">
                <pic:pic xmlns:pic="http://schemas.openxmlformats.org/drawingml/2006/picture">
                  <pic:nvPicPr>
                    <pic:cNvPr id="4" name="图片 4" descr="11"/>
                    <pic:cNvPicPr/>
                  </pic:nvPicPr>
                  <pic:blipFill>
                    <a:blip r:embed="rId13"/>
                    <a:srcRect l="867" t="50761" r="3203" b="679"/>
                    <a:stretch>
                      <a:fillRect/>
                    </a:stretch>
                  </pic:blipFill>
                  <pic:spPr>
                    <a:xfrm>
                      <a:off x="0" y="0"/>
                      <a:ext cx="5145405" cy="3850005"/>
                    </a:xfrm>
                    <a:prstGeom prst="rect">
                      <a:avLst/>
                    </a:prstGeom>
                  </pic:spPr>
                </pic:pic>
              </a:graphicData>
            </a:graphic>
          </wp:inline>
        </w:drawing>
      </w:r>
    </w:p>
    <w:p>
      <w:pPr>
        <w:pStyle w:val="40"/>
        <w:bidi w:val="0"/>
        <w:rPr>
          <w:rFonts w:hint="default"/>
          <w:lang w:val="en-US" w:eastAsia="zh-CN"/>
        </w:rPr>
      </w:pPr>
      <w:bookmarkStart w:id="61" w:name="_Toc12977"/>
      <w:r>
        <w:rPr>
          <w:rFonts w:hint="eastAsia"/>
          <w:lang w:val="en-US" w:eastAsia="zh-CN"/>
        </w:rPr>
        <w:t>图6：彭泽中专组织学生到棉船镇幸福家院进行志愿服务</w:t>
      </w:r>
      <w:bookmarkEnd w:id="61"/>
    </w:p>
    <w:p>
      <w:pPr>
        <w:pStyle w:val="16"/>
        <w:ind w:left="0" w:leftChars="0" w:firstLine="0" w:firstLineChars="0"/>
        <w:jc w:val="center"/>
        <w:rPr>
          <w:rFonts w:hint="eastAsia"/>
          <w:lang w:val="en-US" w:eastAsia="zh-CN"/>
        </w:rPr>
      </w:pPr>
      <w:r>
        <w:rPr>
          <w:rFonts w:hint="eastAsia" w:ascii="仿宋_GB2312" w:hAnsi="仿宋_GB2312" w:eastAsia="仿宋_GB2312" w:cs="仿宋_GB2312"/>
          <w:sz w:val="32"/>
          <w:szCs w:val="32"/>
        </w:rPr>
        <w:drawing>
          <wp:inline distT="0" distB="0" distL="114300" distR="114300">
            <wp:extent cx="5039995" cy="2835275"/>
            <wp:effectExtent l="0" t="0" r="8255" b="3175"/>
            <wp:docPr id="11" name="图片 11" descr="b86c3e879f6c41d26eb72bb0322139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86c3e879f6c41d26eb72bb03221399f"/>
                    <pic:cNvPicPr>
                      <a:picLocks noChangeAspect="1"/>
                    </pic:cNvPicPr>
                  </pic:nvPicPr>
                  <pic:blipFill>
                    <a:blip r:embed="rId14"/>
                    <a:srcRect t="12516" b="12516"/>
                    <a:stretch>
                      <a:fillRect/>
                    </a:stretch>
                  </pic:blipFill>
                  <pic:spPr>
                    <a:xfrm>
                      <a:off x="0" y="0"/>
                      <a:ext cx="5039995" cy="2835275"/>
                    </a:xfrm>
                    <a:prstGeom prst="rect">
                      <a:avLst/>
                    </a:prstGeom>
                  </pic:spPr>
                </pic:pic>
              </a:graphicData>
            </a:graphic>
          </wp:inline>
        </w:drawing>
      </w:r>
    </w:p>
    <w:p>
      <w:pPr>
        <w:pStyle w:val="40"/>
        <w:bidi w:val="0"/>
        <w:rPr>
          <w:rFonts w:hint="default"/>
          <w:lang w:val="en-US" w:eastAsia="zh-CN"/>
        </w:rPr>
      </w:pPr>
      <w:bookmarkStart w:id="62" w:name="_Toc32302"/>
      <w:r>
        <w:rPr>
          <w:rFonts w:hint="eastAsia"/>
          <w:lang w:val="en-US" w:eastAsia="zh-CN"/>
        </w:rPr>
        <w:t>图7：九江市卫生学校组织志愿者进入永安乡志愿服务</w:t>
      </w:r>
      <w:bookmarkEnd w:id="62"/>
    </w:p>
    <w:p>
      <w:pPr>
        <w:rPr>
          <w:rFonts w:hint="eastAsia"/>
          <w:lang w:val="en-US" w:eastAsia="zh-CN"/>
        </w:rPr>
      </w:pPr>
      <w:bookmarkStart w:id="63" w:name="_Toc1901"/>
      <w:r>
        <w:rPr>
          <w:rFonts w:hint="eastAsia"/>
          <w:lang w:val="en-US" w:eastAsia="zh-CN"/>
        </w:rPr>
        <w:br w:type="page"/>
      </w:r>
    </w:p>
    <w:p>
      <w:pPr>
        <w:pStyle w:val="15"/>
        <w:numPr>
          <w:ilvl w:val="0"/>
          <w:numId w:val="0"/>
        </w:numPr>
        <w:bidi w:val="0"/>
        <w:ind w:left="0" w:leftChars="0" w:firstLine="640" w:firstLineChars="200"/>
        <w:rPr>
          <w:rFonts w:hint="eastAsia"/>
          <w:lang w:val="en-US" w:eastAsia="zh-CN"/>
        </w:rPr>
      </w:pPr>
      <w:bookmarkStart w:id="64" w:name="_Toc19863"/>
      <w:r>
        <w:rPr>
          <w:rFonts w:hint="eastAsia"/>
          <w:lang w:val="en-US" w:eastAsia="zh-CN"/>
        </w:rPr>
        <w:t>4 文化传承</w:t>
      </w:r>
      <w:bookmarkEnd w:id="63"/>
      <w:bookmarkEnd w:id="64"/>
    </w:p>
    <w:p>
      <w:pPr>
        <w:pStyle w:val="36"/>
        <w:bidi w:val="0"/>
        <w:rPr>
          <w:rFonts w:hint="default"/>
          <w:lang w:val="en-US" w:eastAsia="zh-CN"/>
        </w:rPr>
      </w:pPr>
      <w:bookmarkStart w:id="65" w:name="_Toc19348"/>
      <w:r>
        <w:rPr>
          <w:rFonts w:hint="eastAsia"/>
          <w:lang w:val="en-US" w:eastAsia="zh-CN"/>
        </w:rPr>
        <w:t>4.1 工匠精神</w:t>
      </w:r>
      <w:bookmarkEnd w:id="65"/>
    </w:p>
    <w:p>
      <w:pPr>
        <w:pStyle w:val="16"/>
        <w:rPr>
          <w:rFonts w:hint="eastAsia"/>
          <w:lang w:val="en-US" w:eastAsia="zh-CN"/>
        </w:rPr>
      </w:pPr>
      <w:r>
        <w:rPr>
          <w:rFonts w:hint="eastAsia"/>
          <w:lang w:val="en-US" w:eastAsia="zh-CN"/>
        </w:rPr>
        <w:t>各中职学校大力弘扬工匠精神，注重学生的职业道德、职业能力、职业品质的培养，通过升旗仪式、主题班会等形式，开展学习工匠精神、弘扬劳模精神主题活动，营造劳动光荣的社会风尚和精益求精的校园学习氛围，让同学们专注自身专业技术技能，严格要求自己，培养追求卓越的创造精神、精益求精的品质精神</w:t>
      </w:r>
    </w:p>
    <w:p>
      <w:pPr>
        <w:pStyle w:val="16"/>
        <w:ind w:left="0" w:leftChars="0" w:firstLine="0" w:firstLineChars="0"/>
        <w:jc w:val="center"/>
        <w:rPr>
          <w:rFonts w:hint="eastAsia" w:ascii="宋体" w:hAnsi="宋体" w:eastAsia="宋体" w:cs="宋体"/>
          <w:sz w:val="30"/>
          <w:szCs w:val="30"/>
          <w:lang w:eastAsia="zh-CN"/>
        </w:rPr>
      </w:pPr>
      <w:r>
        <w:rPr>
          <w:rFonts w:hint="eastAsia" w:ascii="宋体" w:hAnsi="宋体" w:eastAsia="宋体" w:cs="宋体"/>
          <w:sz w:val="30"/>
          <w:szCs w:val="30"/>
          <w:lang w:eastAsia="zh-CN"/>
        </w:rPr>
        <w:drawing>
          <wp:inline distT="0" distB="0" distL="114300" distR="114300">
            <wp:extent cx="5039995" cy="3370580"/>
            <wp:effectExtent l="0" t="0" r="8255" b="1270"/>
            <wp:docPr id="16" name="图片 16" descr="430bfe191235803e2dfd0760c5c2c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30bfe191235803e2dfd0760c5c2ccd"/>
                    <pic:cNvPicPr>
                      <a:picLocks noChangeAspect="1"/>
                    </pic:cNvPicPr>
                  </pic:nvPicPr>
                  <pic:blipFill>
                    <a:blip r:embed="rId15"/>
                    <a:stretch>
                      <a:fillRect/>
                    </a:stretch>
                  </pic:blipFill>
                  <pic:spPr>
                    <a:xfrm>
                      <a:off x="0" y="0"/>
                      <a:ext cx="5039995" cy="3370580"/>
                    </a:xfrm>
                    <a:prstGeom prst="rect">
                      <a:avLst/>
                    </a:prstGeom>
                  </pic:spPr>
                </pic:pic>
              </a:graphicData>
            </a:graphic>
          </wp:inline>
        </w:drawing>
      </w:r>
    </w:p>
    <w:p>
      <w:pPr>
        <w:pStyle w:val="40"/>
        <w:bidi w:val="0"/>
        <w:rPr>
          <w:rFonts w:hint="default"/>
          <w:lang w:val="en-US" w:eastAsia="zh-CN"/>
        </w:rPr>
      </w:pPr>
      <w:bookmarkStart w:id="66" w:name="_Toc8234"/>
      <w:r>
        <w:rPr>
          <w:rFonts w:hint="eastAsia"/>
          <w:lang w:val="en-US" w:eastAsia="zh-CN"/>
        </w:rPr>
        <w:t>图8：德安中专思政大课堂</w:t>
      </w:r>
      <w:bookmarkEnd w:id="66"/>
    </w:p>
    <w:p>
      <w:pPr>
        <w:pStyle w:val="16"/>
        <w:rPr>
          <w:rFonts w:hint="eastAsia"/>
          <w:lang w:val="en-US" w:eastAsia="zh-CN"/>
        </w:rPr>
      </w:pPr>
      <w:r>
        <w:rPr>
          <w:rFonts w:hint="eastAsia"/>
          <w:lang w:val="en-US" w:eastAsia="zh-CN"/>
        </w:rPr>
        <w:t>定期开展技能活动节，通过教师教学技能比赛、学生技能比赛等赛事，加强校园文化内涵建设，发挥技能竞赛对教与学的助推作用，搭建师生技能竞赛的竞技舞台，弘扬“劳动光荣、技能宝贵、创造伟大”的时代风尚，充分展示中职师生技能风采和教学改革成果。</w:t>
      </w:r>
    </w:p>
    <w:p>
      <w:pPr>
        <w:pStyle w:val="16"/>
        <w:rPr>
          <w:rFonts w:hint="eastAsia"/>
          <w:lang w:val="en-US" w:eastAsia="zh-CN"/>
        </w:rPr>
      </w:pPr>
      <w:r>
        <w:rPr>
          <w:rFonts w:hint="eastAsia"/>
          <w:lang w:val="en-US" w:eastAsia="zh-CN"/>
        </w:rPr>
        <w:t>积极宣传推广，通过宣传栏、校园广播、微信公众号等渠道加强对工匠精神的宣传推广，提高学生对工匠精神的认知度和认同感，营造尊重劳动、尊重创造的良好氛围。</w:t>
      </w:r>
    </w:p>
    <w:p>
      <w:pPr>
        <w:pStyle w:val="36"/>
        <w:bidi w:val="0"/>
        <w:rPr>
          <w:rFonts w:hint="eastAsia"/>
          <w:lang w:val="en-US" w:eastAsia="zh-CN"/>
        </w:rPr>
      </w:pPr>
      <w:bookmarkStart w:id="67" w:name="_Toc28482"/>
      <w:r>
        <w:rPr>
          <w:rFonts w:hint="eastAsia"/>
          <w:lang w:val="en-US" w:eastAsia="zh-CN"/>
        </w:rPr>
        <w:t>4.2 红色文化</w:t>
      </w:r>
      <w:bookmarkEnd w:id="67"/>
    </w:p>
    <w:p>
      <w:pPr>
        <w:pStyle w:val="16"/>
        <w:rPr>
          <w:rFonts w:hint="default"/>
          <w:lang w:val="en-US" w:eastAsia="zh-CN"/>
        </w:rPr>
      </w:pPr>
      <w:r>
        <w:rPr>
          <w:rFonts w:hint="default"/>
          <w:lang w:val="en-US" w:eastAsia="zh-CN"/>
        </w:rPr>
        <w:t>贯彻落实《新时代爱国主义教育实施纲要》，将爱国主义精神纳入教育教学实践环节，推动爱国主义教育进课堂、校领导讲党课，思政大课堂等活动，将爱国主义精神传承做到入脑入心.为认真贯彻落实《新时代爱国主义教育实施纲要》《新时代公民道德建设实施纲要》，结合党史学习教育有关要求，深化“扣好人生第一粒扣子”主题教育实践活动，充分运用“九一八事变”纪念日，进⼀步推进和践行社会主义核心价值观教育活动的深入开展。</w:t>
      </w:r>
    </w:p>
    <w:p>
      <w:pPr>
        <w:pStyle w:val="16"/>
        <w:rPr>
          <w:rFonts w:hint="default"/>
          <w:lang w:val="en-US" w:eastAsia="zh-CN"/>
        </w:rPr>
      </w:pPr>
      <w:r>
        <w:rPr>
          <w:rFonts w:hint="default"/>
          <w:lang w:val="en-US" w:eastAsia="zh-CN"/>
        </w:rPr>
        <w:t>结合重大纪念日、节日活动，培养学生爱国、爱党、爱集体、爱家乡的情感。通过开展形式多样的校园活动让学生铭记革命历史，了解革命先烈们为了中国的解放和革命的成功而努力战斗的艰辛历程。学习革命先烈不畏艰难、艰苦朴素的作风。激发学生热爱学习，热爱祖国，为祖国做贡献的远大理想。</w:t>
      </w:r>
    </w:p>
    <w:p>
      <w:pPr>
        <w:pStyle w:val="16"/>
        <w:ind w:left="0" w:leftChars="0" w:firstLine="0" w:firstLineChars="0"/>
        <w:jc w:val="center"/>
        <w:rPr>
          <w:rFonts w:hint="eastAsia"/>
          <w:lang w:val="en-US" w:eastAsia="zh-CN"/>
        </w:rPr>
      </w:pPr>
      <w:r>
        <w:rPr>
          <w:rFonts w:hint="eastAsia"/>
          <w:lang w:val="en-US" w:eastAsia="zh-CN"/>
        </w:rPr>
        <w:drawing>
          <wp:inline distT="0" distB="0" distL="114300" distR="114300">
            <wp:extent cx="5039995" cy="3782695"/>
            <wp:effectExtent l="0" t="0" r="8255" b="8255"/>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pic:cNvPicPr>
                      <a:picLocks noChangeAspect="1"/>
                    </pic:cNvPicPr>
                  </pic:nvPicPr>
                  <pic:blipFill>
                    <a:blip r:embed="rId16"/>
                    <a:stretch>
                      <a:fillRect/>
                    </a:stretch>
                  </pic:blipFill>
                  <pic:spPr>
                    <a:xfrm>
                      <a:off x="0" y="0"/>
                      <a:ext cx="5039995" cy="3782695"/>
                    </a:xfrm>
                    <a:prstGeom prst="rect">
                      <a:avLst/>
                    </a:prstGeom>
                  </pic:spPr>
                </pic:pic>
              </a:graphicData>
            </a:graphic>
          </wp:inline>
        </w:drawing>
      </w:r>
    </w:p>
    <w:p>
      <w:pPr>
        <w:pStyle w:val="40"/>
        <w:bidi w:val="0"/>
        <w:rPr>
          <w:rFonts w:hint="default"/>
          <w:lang w:val="en-US" w:eastAsia="zh-CN"/>
        </w:rPr>
      </w:pPr>
      <w:bookmarkStart w:id="68" w:name="_Toc23889"/>
      <w:r>
        <w:rPr>
          <w:rFonts w:hint="eastAsia"/>
          <w:lang w:val="en-US" w:eastAsia="zh-CN"/>
        </w:rPr>
        <w:t>图9：彭泽中专国旗护卫队</w:t>
      </w:r>
      <w:bookmarkEnd w:id="68"/>
    </w:p>
    <w:p>
      <w:pPr>
        <w:pStyle w:val="37"/>
        <w:bidi w:val="0"/>
        <w:rPr>
          <w:rFonts w:hint="default"/>
          <w:lang w:val="en-US" w:eastAsia="zh-CN"/>
        </w:rPr>
      </w:pPr>
      <w:bookmarkStart w:id="69" w:name="_Toc30959"/>
      <w:r>
        <w:rPr>
          <w:rFonts w:hint="default"/>
          <w:lang w:val="en-US" w:eastAsia="zh-CN"/>
        </w:rPr>
        <w:t>案例</w:t>
      </w:r>
      <w:r>
        <w:rPr>
          <w:rFonts w:hint="eastAsia"/>
          <w:lang w:val="en-US" w:eastAsia="zh-CN"/>
        </w:rPr>
        <w:t>6</w:t>
      </w:r>
      <w:r>
        <w:rPr>
          <w:rFonts w:hint="default"/>
          <w:lang w:val="en-US" w:eastAsia="zh-CN"/>
        </w:rPr>
        <w:t>：</w:t>
      </w:r>
      <w:r>
        <w:rPr>
          <w:rFonts w:hint="eastAsia"/>
          <w:lang w:val="en-US" w:eastAsia="zh-CN"/>
        </w:rPr>
        <w:t>九江理工学校组织清明祭扫先烈</w:t>
      </w:r>
      <w:bookmarkEnd w:id="69"/>
    </w:p>
    <w:p>
      <w:pPr>
        <w:pStyle w:val="39"/>
        <w:bidi w:val="0"/>
        <w:rPr>
          <w:rFonts w:hint="default"/>
          <w:lang w:val="en-US" w:eastAsia="zh-CN"/>
        </w:rPr>
      </w:pPr>
      <w:r>
        <w:rPr>
          <w:rFonts w:hint="default"/>
          <w:lang w:val="en-US" w:eastAsia="zh-CN"/>
        </w:rPr>
        <w:t>2023年3月31日上午，学校组织开展2023 年度“缅怀革命先烈 传承红色基因”清明祭扫活动，学校党支部书记余海、团委书记魏杭、学工科长曾广淼等出席活动。活动由魏杭主持。</w:t>
      </w:r>
    </w:p>
    <w:p>
      <w:pPr>
        <w:pStyle w:val="39"/>
        <w:bidi w:val="0"/>
        <w:rPr>
          <w:rFonts w:hint="default"/>
          <w:lang w:val="en-US" w:eastAsia="zh-CN"/>
        </w:rPr>
      </w:pPr>
      <w:r>
        <w:rPr>
          <w:rFonts w:hint="default"/>
          <w:lang w:val="en-US" w:eastAsia="zh-CN"/>
        </w:rPr>
        <w:t>祭奠仪式在庄严的气氛中拉开序幕。全体肃立默哀，沉痛悼念在战争中英勇牺牲的烈士，深切缅怀革命烈士的不朽功绩和不畏牺牲的革命精神，内心充满了对革命先烈的敬仰和爱戴之情。随后，校领导代表学校向革命烈士敬献花篮。活动结束后，师生们前往陶渊明纪念馆开展红色走读活动。同学们纷纷表示，这次活动让大家更加深刻地理解了革命先烈为了国家和民族抛头颅、洒热血的高尚情怀，是他们的负重前行，才换来了我们今天的岁月静好。作为新时代的青年学生，将永远铭记家国担当，牢记革命先烈的精神和遗志，为祖国的繁荣昌盛而奋发图强，以青春之我，实现强国梦，为中华民族的伟大复兴和强大而努力学习，以实际行动告慰革命先烈忠魂。</w:t>
      </w:r>
    </w:p>
    <w:p>
      <w:pPr>
        <w:pStyle w:val="16"/>
        <w:ind w:left="0" w:leftChars="0" w:firstLine="0" w:firstLineChars="0"/>
        <w:rPr>
          <w:rFonts w:hint="default"/>
          <w:lang w:val="en-US" w:eastAsia="zh-CN"/>
        </w:rPr>
      </w:pPr>
    </w:p>
    <w:p>
      <w:pPr>
        <w:pStyle w:val="36"/>
        <w:bidi w:val="0"/>
        <w:rPr>
          <w:rFonts w:hint="default"/>
          <w:lang w:val="en-US" w:eastAsia="zh-CN"/>
        </w:rPr>
      </w:pPr>
      <w:bookmarkStart w:id="70" w:name="_Toc21880"/>
      <w:r>
        <w:rPr>
          <w:rFonts w:hint="eastAsia"/>
          <w:lang w:val="en-US" w:eastAsia="zh-CN"/>
        </w:rPr>
        <w:t>4.3 社团建设</w:t>
      </w:r>
      <w:bookmarkEnd w:id="70"/>
    </w:p>
    <w:p>
      <w:pPr>
        <w:pStyle w:val="16"/>
        <w:rPr>
          <w:rFonts w:hint="default"/>
          <w:lang w:val="en-US" w:eastAsia="zh-CN"/>
        </w:rPr>
      </w:pPr>
      <w:r>
        <w:rPr>
          <w:rFonts w:hint="default"/>
          <w:lang w:val="en-US" w:eastAsia="zh-CN"/>
        </w:rPr>
        <w:t>社团是培养学生服务意识的摇篮，是学生自主发展的舞台，是学生自我教育的阵地，是培养专业技能人才的广阔平台。一直以来，</w:t>
      </w:r>
      <w:r>
        <w:rPr>
          <w:rFonts w:hint="eastAsia"/>
          <w:lang w:val="en-US" w:eastAsia="zh-CN"/>
        </w:rPr>
        <w:t>各中职学校</w:t>
      </w:r>
      <w:r>
        <w:rPr>
          <w:rFonts w:hint="default"/>
          <w:lang w:val="en-US" w:eastAsia="zh-CN"/>
        </w:rPr>
        <w:t>秉承“一切为了学生的可持续发展”的理念，充分挖掘学生的内在潜力，突出</w:t>
      </w:r>
      <w:r>
        <w:rPr>
          <w:rFonts w:hint="eastAsia"/>
          <w:lang w:val="en-US" w:eastAsia="zh-CN"/>
        </w:rPr>
        <w:t>各校</w:t>
      </w:r>
      <w:r>
        <w:rPr>
          <w:rFonts w:hint="default"/>
          <w:lang w:val="en-US" w:eastAsia="zh-CN"/>
        </w:rPr>
        <w:t>办学的特色，以社团活动促进学生自主学习与综合素质的提高。</w:t>
      </w:r>
      <w:r>
        <w:rPr>
          <w:rFonts w:hint="eastAsia"/>
          <w:lang w:val="en-US" w:eastAsia="zh-CN"/>
        </w:rPr>
        <w:t>各校均建设了</w:t>
      </w:r>
      <w:r>
        <w:rPr>
          <w:rFonts w:hint="default"/>
          <w:lang w:val="en-US" w:eastAsia="zh-CN"/>
        </w:rPr>
        <w:t>涵盖了文化、艺术、体育、心理等多个领域</w:t>
      </w:r>
      <w:r>
        <w:rPr>
          <w:rFonts w:hint="eastAsia"/>
          <w:lang w:val="en-US" w:eastAsia="zh-CN"/>
        </w:rPr>
        <w:t>的学生社团。各中职学校</w:t>
      </w:r>
      <w:r>
        <w:rPr>
          <w:rFonts w:hint="default"/>
          <w:lang w:val="en-US" w:eastAsia="zh-CN"/>
        </w:rPr>
        <w:t>积极选聘指导教师，充实建设内涵，加紧学校社团文化的建设步伐，致力为学生提供广阔的锻炼和展示平台。</w:t>
      </w:r>
    </w:p>
    <w:p>
      <w:pPr>
        <w:pStyle w:val="16"/>
        <w:rPr>
          <w:rFonts w:hint="default"/>
          <w:lang w:val="en-US" w:eastAsia="zh-CN"/>
        </w:rPr>
      </w:pPr>
    </w:p>
    <w:p>
      <w:pPr>
        <w:pStyle w:val="16"/>
        <w:ind w:left="0" w:leftChars="0" w:firstLine="0" w:firstLineChars="0"/>
        <w:rPr>
          <w:position w:val="-83"/>
          <w:lang w:eastAsia="zh-CN"/>
        </w:rPr>
      </w:pPr>
      <w:r>
        <w:rPr>
          <w:position w:val="-83"/>
          <w:lang w:eastAsia="zh-CN"/>
        </w:rPr>
        <w:drawing>
          <wp:inline distT="0" distB="0" distL="0" distR="0">
            <wp:extent cx="5039995" cy="2525395"/>
            <wp:effectExtent l="0" t="0" r="8255" b="8255"/>
            <wp:docPr id="84" name="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 84"/>
                    <pic:cNvPicPr>
                      <a:picLocks noChangeAspect="1"/>
                    </pic:cNvPicPr>
                  </pic:nvPicPr>
                  <pic:blipFill>
                    <a:blip r:embed="rId17"/>
                    <a:stretch>
                      <a:fillRect/>
                    </a:stretch>
                  </pic:blipFill>
                  <pic:spPr>
                    <a:xfrm>
                      <a:off x="0" y="0"/>
                      <a:ext cx="5039995" cy="2525395"/>
                    </a:xfrm>
                    <a:prstGeom prst="rect">
                      <a:avLst/>
                    </a:prstGeom>
                  </pic:spPr>
                </pic:pic>
              </a:graphicData>
            </a:graphic>
          </wp:inline>
        </w:drawing>
      </w:r>
    </w:p>
    <w:p>
      <w:pPr>
        <w:pStyle w:val="40"/>
        <w:bidi w:val="0"/>
        <w:rPr>
          <w:rFonts w:hint="default"/>
          <w:lang w:val="en-US" w:eastAsia="zh-CN"/>
        </w:rPr>
      </w:pPr>
      <w:bookmarkStart w:id="71" w:name="_Toc27449"/>
      <w:r>
        <w:rPr>
          <w:rFonts w:hint="eastAsia"/>
          <w:lang w:val="en-US" w:eastAsia="zh-CN"/>
        </w:rPr>
        <w:t>图10：瑞昌中专太极功夫兴趣社团</w:t>
      </w:r>
      <w:bookmarkEnd w:id="71"/>
    </w:p>
    <w:p>
      <w:pPr>
        <w:pStyle w:val="36"/>
        <w:bidi w:val="0"/>
        <w:rPr>
          <w:rFonts w:hint="eastAsia"/>
          <w:lang w:val="en-US" w:eastAsia="zh-CN"/>
        </w:rPr>
      </w:pPr>
      <w:bookmarkStart w:id="72" w:name="_Toc28803"/>
      <w:r>
        <w:rPr>
          <w:rFonts w:hint="eastAsia"/>
          <w:lang w:val="en-US" w:eastAsia="zh-CN"/>
        </w:rPr>
        <w:t>4.4 传统文化</w:t>
      </w:r>
      <w:bookmarkEnd w:id="72"/>
    </w:p>
    <w:p>
      <w:pPr>
        <w:pStyle w:val="16"/>
        <w:rPr>
          <w:rFonts w:hint="default"/>
          <w:lang w:val="en-US" w:eastAsia="zh-CN"/>
        </w:rPr>
      </w:pPr>
      <w:r>
        <w:rPr>
          <w:rFonts w:hint="default"/>
          <w:lang w:val="en-US" w:eastAsia="zh-CN"/>
        </w:rPr>
        <w:t>以周敦颐先生为代表的莲文化是中华传统文化长河中璀璨的明珠。周敦颐为官清廉、高洁正直、淡泊名利、执政为民，不与世俗同流合污、不慕名利、不攀附权贵、高洁清廉</w:t>
      </w:r>
      <w:r>
        <w:rPr>
          <w:rFonts w:hint="eastAsia"/>
          <w:lang w:val="en-US" w:eastAsia="zh-CN"/>
        </w:rPr>
        <w:t>。九江科技中专</w:t>
      </w:r>
      <w:r>
        <w:rPr>
          <w:rFonts w:hint="default"/>
          <w:lang w:val="en-US" w:eastAsia="zh-CN"/>
        </w:rPr>
        <w:t>通过以莲文化命名校园道路、组织学生参加周敦颐纪念馆、举办莲文化经典诵读等形式，让师生体会高尚品格内涵，深化了对勤廉文化的认识。激起学生爱经典、传文化、爱家乡、爱祖国之心。</w:t>
      </w:r>
    </w:p>
    <w:p>
      <w:pPr>
        <w:pStyle w:val="16"/>
        <w:ind w:left="0" w:leftChars="0" w:firstLine="0" w:firstLineChars="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039995" cy="3291840"/>
            <wp:effectExtent l="0" t="0" r="8255" b="3810"/>
            <wp:docPr id="210" name="Picture 3"/>
            <wp:cNvGraphicFramePr/>
            <a:graphic xmlns:a="http://schemas.openxmlformats.org/drawingml/2006/main">
              <a:graphicData uri="http://schemas.openxmlformats.org/drawingml/2006/picture">
                <pic:pic xmlns:pic="http://schemas.openxmlformats.org/drawingml/2006/picture">
                  <pic:nvPicPr>
                    <pic:cNvPr id="210" name="Picture 3"/>
                    <pic:cNvPicPr/>
                  </pic:nvPicPr>
                  <pic:blipFill>
                    <a:blip r:embed="rId18" cstate="print"/>
                    <a:srcRect/>
                    <a:stretch>
                      <a:fillRect/>
                    </a:stretch>
                  </pic:blipFill>
                  <pic:spPr>
                    <a:xfrm>
                      <a:off x="0" y="0"/>
                      <a:ext cx="5039995" cy="3291840"/>
                    </a:xfrm>
                    <a:prstGeom prst="rect">
                      <a:avLst/>
                    </a:prstGeom>
                  </pic:spPr>
                </pic:pic>
              </a:graphicData>
            </a:graphic>
          </wp:inline>
        </w:drawing>
      </w:r>
    </w:p>
    <w:p>
      <w:pPr>
        <w:pStyle w:val="40"/>
        <w:bidi w:val="0"/>
        <w:rPr>
          <w:rFonts w:hint="default"/>
          <w:lang w:val="en-US" w:eastAsia="zh-CN"/>
        </w:rPr>
      </w:pPr>
      <w:bookmarkStart w:id="73" w:name="_Toc9565"/>
      <w:r>
        <w:rPr>
          <w:rFonts w:hint="eastAsia"/>
          <w:lang w:val="en-US" w:eastAsia="zh-CN"/>
        </w:rPr>
        <w:t>图11：九江科技中专组织学生参观周敦颐纪念馆</w:t>
      </w:r>
      <w:bookmarkEnd w:id="73"/>
    </w:p>
    <w:p>
      <w:pPr>
        <w:pStyle w:val="16"/>
        <w:rPr>
          <w:rFonts w:hint="default"/>
          <w:lang w:val="en-US" w:eastAsia="zh-CN"/>
        </w:rPr>
      </w:pPr>
    </w:p>
    <w:p>
      <w:pPr>
        <w:pStyle w:val="37"/>
        <w:bidi w:val="0"/>
        <w:rPr>
          <w:rFonts w:hint="default"/>
          <w:lang w:val="en-US" w:eastAsia="zh-CN"/>
        </w:rPr>
      </w:pPr>
      <w:bookmarkStart w:id="74" w:name="_Toc3046"/>
      <w:r>
        <w:rPr>
          <w:rFonts w:hint="default"/>
          <w:lang w:val="en-US" w:eastAsia="zh-CN"/>
        </w:rPr>
        <w:t>案例</w:t>
      </w:r>
      <w:r>
        <w:rPr>
          <w:rFonts w:hint="eastAsia"/>
          <w:lang w:val="en-US" w:eastAsia="zh-CN"/>
        </w:rPr>
        <w:t>7：都昌中专组织</w:t>
      </w:r>
      <w:r>
        <w:rPr>
          <w:rFonts w:hint="default"/>
          <w:lang w:val="en-US" w:eastAsia="zh-CN"/>
        </w:rPr>
        <w:t>非遗进校园</w:t>
      </w:r>
      <w:bookmarkEnd w:id="74"/>
    </w:p>
    <w:p>
      <w:pPr>
        <w:pStyle w:val="39"/>
        <w:bidi w:val="0"/>
        <w:rPr>
          <w:rFonts w:hint="default"/>
          <w:lang w:val="en-US" w:eastAsia="zh-CN"/>
        </w:rPr>
      </w:pPr>
      <w:r>
        <w:rPr>
          <w:rFonts w:hint="default"/>
          <w:lang w:val="en-US" w:eastAsia="zh-CN"/>
        </w:rPr>
        <w:t>为了丰富学生的校园生活，进一步弘扬传统文化，激发学生学习、保护非遗的兴趣和热情。5月24日，都昌中专邀请都昌县文化馆工作人员来到学生身边，浸润学生心田。“鄱阳湖上都昌县，灯火楼台一万家。水隔南山人不渡，东风吹老碧桃花”、刘肩三，又名刘汉才，1892年12月5日出生，江西省都昌县汪墩乡后垅村人在都昌中专的教室里，非遗传承人张云龙给学生现场演示都昌鼓书版《过都昌》和都昌先烈刘肩山的革命故事，并现场教授都昌鼓书的演唱和打鼓技巧。</w:t>
      </w:r>
    </w:p>
    <w:p>
      <w:pPr>
        <w:pStyle w:val="16"/>
        <w:ind w:left="0" w:leftChars="0" w:firstLine="0" w:firstLineChars="0"/>
        <w:jc w:val="center"/>
        <w:rPr>
          <w:rFonts w:ascii="宋体" w:hAnsi="宋体"/>
        </w:rPr>
      </w:pPr>
      <w:r>
        <w:rPr>
          <w:rFonts w:ascii="宋体" w:hAnsi="宋体"/>
        </w:rPr>
        <w:drawing>
          <wp:inline distT="0" distB="0" distL="114300" distR="114300">
            <wp:extent cx="5039995" cy="2787015"/>
            <wp:effectExtent l="0" t="0" r="8255" b="1333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9"/>
                    <a:stretch>
                      <a:fillRect/>
                    </a:stretch>
                  </pic:blipFill>
                  <pic:spPr>
                    <a:xfrm>
                      <a:off x="0" y="0"/>
                      <a:ext cx="5039995" cy="2787015"/>
                    </a:xfrm>
                    <a:prstGeom prst="rect">
                      <a:avLst/>
                    </a:prstGeom>
                    <a:noFill/>
                    <a:ln>
                      <a:noFill/>
                    </a:ln>
                  </pic:spPr>
                </pic:pic>
              </a:graphicData>
            </a:graphic>
          </wp:inline>
        </w:drawing>
      </w:r>
    </w:p>
    <w:p>
      <w:pPr>
        <w:pStyle w:val="40"/>
        <w:bidi w:val="0"/>
        <w:rPr>
          <w:rFonts w:hint="default"/>
          <w:lang w:val="en-US" w:eastAsia="zh-CN"/>
        </w:rPr>
      </w:pPr>
      <w:bookmarkStart w:id="75" w:name="_Toc28559"/>
      <w:r>
        <w:rPr>
          <w:rFonts w:hint="eastAsia"/>
          <w:lang w:val="en-US" w:eastAsia="zh-CN"/>
        </w:rPr>
        <w:t>图12：非遗传承人向都昌中专学生展示都昌鼓书</w:t>
      </w:r>
      <w:bookmarkEnd w:id="75"/>
    </w:p>
    <w:p>
      <w:pPr>
        <w:rPr>
          <w:rFonts w:hint="eastAsia"/>
          <w:lang w:val="en-US" w:eastAsia="zh-CN"/>
        </w:rPr>
      </w:pPr>
      <w:bookmarkStart w:id="76" w:name="_Toc9375"/>
      <w:r>
        <w:rPr>
          <w:rFonts w:hint="eastAsia"/>
          <w:lang w:val="en-US" w:eastAsia="zh-CN"/>
        </w:rPr>
        <w:br w:type="page"/>
      </w:r>
    </w:p>
    <w:p>
      <w:pPr>
        <w:pStyle w:val="15"/>
        <w:numPr>
          <w:ilvl w:val="0"/>
          <w:numId w:val="0"/>
        </w:numPr>
        <w:bidi w:val="0"/>
        <w:ind w:left="0" w:leftChars="0" w:firstLine="640" w:firstLineChars="200"/>
        <w:rPr>
          <w:rFonts w:hint="eastAsia"/>
          <w:lang w:val="en-US" w:eastAsia="zh-CN"/>
        </w:rPr>
      </w:pPr>
      <w:bookmarkStart w:id="77" w:name="_Toc12815"/>
      <w:r>
        <w:rPr>
          <w:rFonts w:hint="eastAsia"/>
          <w:lang w:val="en-US" w:eastAsia="zh-CN"/>
        </w:rPr>
        <w:t>5 产教融合</w:t>
      </w:r>
      <w:bookmarkEnd w:id="76"/>
      <w:bookmarkEnd w:id="77"/>
    </w:p>
    <w:p>
      <w:pPr>
        <w:pStyle w:val="36"/>
        <w:bidi w:val="0"/>
        <w:rPr>
          <w:rFonts w:hint="default"/>
          <w:lang w:val="en-US" w:eastAsia="zh-CN"/>
        </w:rPr>
      </w:pPr>
      <w:bookmarkStart w:id="78" w:name="_Toc592"/>
      <w:r>
        <w:rPr>
          <w:rFonts w:hint="eastAsia"/>
          <w:lang w:val="en-US" w:eastAsia="zh-CN"/>
        </w:rPr>
        <w:t>5.1 政策引导</w:t>
      </w:r>
      <w:bookmarkEnd w:id="78"/>
    </w:p>
    <w:p>
      <w:pPr>
        <w:pStyle w:val="16"/>
        <w:rPr>
          <w:rFonts w:hint="eastAsia"/>
          <w:lang w:val="en-US" w:eastAsia="zh-CN"/>
        </w:rPr>
      </w:pPr>
      <w:r>
        <w:rPr>
          <w:rFonts w:hint="eastAsia"/>
          <w:lang w:val="en-US" w:eastAsia="zh-CN"/>
        </w:rPr>
        <w:t>2023年九江市政府印发了</w:t>
      </w:r>
      <w:r>
        <w:rPr>
          <w:rFonts w:hint="default"/>
          <w:lang w:val="en-US" w:eastAsia="zh-CN"/>
        </w:rPr>
        <w:t>《关于进一步完善政校企合作机制的意见》</w:t>
      </w:r>
      <w:r>
        <w:rPr>
          <w:rFonts w:hint="eastAsia"/>
          <w:lang w:val="en-US" w:eastAsia="zh-CN"/>
        </w:rPr>
        <w:t>，针对</w:t>
      </w:r>
      <w:r>
        <w:rPr>
          <w:rFonts w:hint="default"/>
          <w:lang w:val="en-US" w:eastAsia="zh-CN"/>
        </w:rPr>
        <w:t>职业院校在产教融合工作中呈现“合而不深”“校热企冷”等问题</w:t>
      </w:r>
      <w:r>
        <w:rPr>
          <w:rFonts w:hint="eastAsia"/>
          <w:lang w:val="en-US" w:eastAsia="zh-CN"/>
        </w:rPr>
        <w:t>进行了政策性指导。2023年11月，九江化工、先进制造2家市域产教联合体正式成立并举行揭牌仪式。</w:t>
      </w:r>
    </w:p>
    <w:p>
      <w:pPr>
        <w:pStyle w:val="16"/>
        <w:rPr>
          <w:rFonts w:hint="default"/>
          <w:lang w:val="en-US" w:eastAsia="zh-CN"/>
        </w:rPr>
      </w:pPr>
      <w:r>
        <w:rPr>
          <w:rFonts w:hint="eastAsia"/>
          <w:lang w:val="en-US" w:eastAsia="zh-CN"/>
        </w:rPr>
        <w:t>2023年九江市建成覆盖石化化工、电子信息、装备制造等多个重点产业，各级各类产业学院27个，其中10家被评为市级现代产业学院。第二批现代产业学院的建设，也正在积极筹备当中。</w:t>
      </w:r>
    </w:p>
    <w:p>
      <w:pPr>
        <w:pStyle w:val="37"/>
        <w:bidi w:val="0"/>
        <w:rPr>
          <w:rFonts w:hint="eastAsia"/>
          <w:lang w:val="en-US" w:eastAsia="zh-CN"/>
        </w:rPr>
      </w:pPr>
      <w:bookmarkStart w:id="79" w:name="_Toc3578"/>
      <w:r>
        <w:rPr>
          <w:rFonts w:hint="eastAsia"/>
          <w:lang w:val="en-US" w:eastAsia="zh-CN"/>
        </w:rPr>
        <w:t>案例8：庐山西海艺校加强校企深度合作</w:t>
      </w:r>
      <w:bookmarkEnd w:id="79"/>
    </w:p>
    <w:p>
      <w:pPr>
        <w:pStyle w:val="39"/>
        <w:bidi w:val="0"/>
        <w:rPr>
          <w:rFonts w:hint="eastAsia"/>
          <w:lang w:val="en-US" w:eastAsia="zh-CN"/>
        </w:rPr>
      </w:pPr>
      <w:r>
        <w:rPr>
          <w:rFonts w:hint="eastAsia"/>
          <w:lang w:val="en-US" w:eastAsia="zh-CN"/>
        </w:rPr>
        <w:t>江西艺邦智能家居研究院举行揭牌仪式，武宁县委书记洪碧霞与艺邦集团董事局主席罗照球共同为江西艺邦智能家居研究院揭牌。江西艺邦智能家居研究院的成立，是艺邦集团与九江庐山西海艺术学校校企合作基础上的又一创举。发挥集团办学优势，整合资源，加快产学研融合，致力于智能家居领域专业人才联合培养和智能家居的开发、研究，助推武宁县智能家居产业的发展。</w:t>
      </w:r>
    </w:p>
    <w:p>
      <w:pPr>
        <w:pStyle w:val="39"/>
        <w:bidi w:val="0"/>
        <w:rPr>
          <w:rFonts w:hint="eastAsia"/>
          <w:lang w:val="en-US" w:eastAsia="zh-CN"/>
        </w:rPr>
      </w:pPr>
      <w:r>
        <w:rPr>
          <w:rFonts w:hint="eastAsia"/>
          <w:lang w:val="en-US" w:eastAsia="zh-CN"/>
        </w:rPr>
        <w:t>2023年度，学校进一步与集团在智能家居软件领域开展合作，初步确定了智能家居软件“三维家”教学大纲，进一步探索课程设置与培养目标的适用性。</w:t>
      </w:r>
    </w:p>
    <w:p>
      <w:pPr>
        <w:pStyle w:val="36"/>
        <w:bidi w:val="0"/>
        <w:rPr>
          <w:rFonts w:hint="eastAsia"/>
          <w:lang w:val="en-US" w:eastAsia="zh-CN"/>
        </w:rPr>
      </w:pPr>
      <w:bookmarkStart w:id="80" w:name="_Toc11280"/>
      <w:r>
        <w:rPr>
          <w:rFonts w:hint="eastAsia"/>
          <w:lang w:val="en-US" w:eastAsia="zh-CN"/>
        </w:rPr>
        <w:t>5.2 双元育人</w:t>
      </w:r>
      <w:bookmarkEnd w:id="80"/>
    </w:p>
    <w:p>
      <w:pPr>
        <w:pStyle w:val="16"/>
        <w:rPr>
          <w:rFonts w:hint="default"/>
          <w:lang w:val="en-US" w:eastAsia="zh-CN"/>
        </w:rPr>
      </w:pPr>
      <w:r>
        <w:rPr>
          <w:rFonts w:hint="eastAsia"/>
          <w:lang w:val="en-US" w:eastAsia="zh-CN"/>
        </w:rPr>
        <w:t>各中职学校与企业正在</w:t>
      </w:r>
      <w:r>
        <w:rPr>
          <w:rFonts w:hint="default"/>
          <w:lang w:val="en-US" w:eastAsia="zh-CN"/>
        </w:rPr>
        <w:t>逐步形成“人才共有、过程共管、成果共享、责任共担”的合作办学机制，稳步实现企业得人才、职工学生得技能、职业院校得发展的多赢目标。校企双方共同参与课程设置、教学计划和开发新专业</w:t>
      </w:r>
      <w:r>
        <w:rPr>
          <w:rFonts w:hint="eastAsia"/>
          <w:lang w:val="en-US" w:eastAsia="zh-CN"/>
        </w:rPr>
        <w:t>，</w:t>
      </w:r>
      <w:r>
        <w:rPr>
          <w:rFonts w:hint="default"/>
          <w:lang w:val="en-US" w:eastAsia="zh-CN"/>
        </w:rPr>
        <w:t>共同构建技能型人才培养基地</w:t>
      </w:r>
      <w:r>
        <w:rPr>
          <w:rFonts w:hint="eastAsia"/>
          <w:lang w:val="en-US" w:eastAsia="zh-CN"/>
        </w:rPr>
        <w:t>，</w:t>
      </w:r>
      <w:r>
        <w:rPr>
          <w:rFonts w:hint="default"/>
          <w:lang w:val="en-US" w:eastAsia="zh-CN"/>
        </w:rPr>
        <w:t>共同实施</w:t>
      </w:r>
      <w:r>
        <w:rPr>
          <w:rFonts w:hint="eastAsia"/>
          <w:lang w:val="en-US" w:eastAsia="zh-CN"/>
        </w:rPr>
        <w:t>技能型人才</w:t>
      </w:r>
      <w:r>
        <w:rPr>
          <w:rFonts w:hint="default"/>
          <w:lang w:val="en-US" w:eastAsia="zh-CN"/>
        </w:rPr>
        <w:t>项目培训</w:t>
      </w:r>
      <w:r>
        <w:rPr>
          <w:rFonts w:hint="eastAsia"/>
          <w:lang w:val="en-US" w:eastAsia="zh-CN"/>
        </w:rPr>
        <w:t>，</w:t>
      </w:r>
      <w:r>
        <w:rPr>
          <w:rFonts w:hint="default"/>
          <w:lang w:val="en-US" w:eastAsia="zh-CN"/>
        </w:rPr>
        <w:t>共同打造优质师资队伍</w:t>
      </w:r>
      <w:r>
        <w:rPr>
          <w:rFonts w:hint="eastAsia"/>
          <w:lang w:val="en-US" w:eastAsia="zh-CN"/>
        </w:rPr>
        <w:t>，</w:t>
      </w:r>
      <w:r>
        <w:rPr>
          <w:rFonts w:hint="default"/>
          <w:lang w:val="en-US" w:eastAsia="zh-CN"/>
        </w:rPr>
        <w:t>共同搭建院校学生实习就业平台。通过</w:t>
      </w:r>
      <w:r>
        <w:rPr>
          <w:rFonts w:hint="eastAsia"/>
          <w:lang w:val="en-US" w:eastAsia="zh-CN"/>
        </w:rPr>
        <w:t>双元育人</w:t>
      </w:r>
      <w:r>
        <w:rPr>
          <w:rFonts w:hint="default"/>
          <w:lang w:val="en-US" w:eastAsia="zh-CN"/>
        </w:rPr>
        <w:t>，促使</w:t>
      </w:r>
      <w:r>
        <w:rPr>
          <w:rFonts w:hint="eastAsia"/>
          <w:lang w:val="en-US" w:eastAsia="zh-CN"/>
        </w:rPr>
        <w:t>中职学校</w:t>
      </w:r>
      <w:r>
        <w:rPr>
          <w:rFonts w:hint="default"/>
          <w:lang w:val="en-US" w:eastAsia="zh-CN"/>
        </w:rPr>
        <w:t>专业设置更加合理，课程构建更加科学，人才培养方案更加完善，校企合作更加深入。</w:t>
      </w:r>
    </w:p>
    <w:p>
      <w:pPr>
        <w:pStyle w:val="37"/>
        <w:bidi w:val="0"/>
        <w:rPr>
          <w:rFonts w:hint="default"/>
          <w:lang w:val="en-US" w:eastAsia="zh-CN"/>
        </w:rPr>
      </w:pPr>
      <w:bookmarkStart w:id="81" w:name="_Toc26113"/>
      <w:r>
        <w:rPr>
          <w:rFonts w:hint="eastAsia"/>
          <w:lang w:val="en-US" w:eastAsia="zh-CN"/>
        </w:rPr>
        <w:t>案例9：修水中专培养模具技术人才，助力县域经济发展</w:t>
      </w:r>
      <w:bookmarkEnd w:id="81"/>
    </w:p>
    <w:p>
      <w:pPr>
        <w:pStyle w:val="39"/>
        <w:bidi w:val="0"/>
        <w:rPr>
          <w:rFonts w:hint="eastAsia"/>
          <w:lang w:val="en-US" w:eastAsia="zh-CN"/>
        </w:rPr>
      </w:pPr>
      <w:r>
        <w:rPr>
          <w:rFonts w:hint="eastAsia"/>
          <w:lang w:val="en-US" w:eastAsia="zh-CN"/>
        </w:rPr>
        <w:t>修水中专围绕县模具产业的发展需求，根据学生的认知特点，与中泰科技一起制定了详细的模具技术人才培养计划，确保学生能够熟练掌握模具设计、制造、维修等方面的技能。为填补模具设计专业教师的缺乏，今年秋季，学校特意引进两名模具设计专业教师，并将2023级数控专业班按模具产业岗位需求开设专业课程，着重培养模具设计方面的专业技术人才，为模具产业园建设提供强力支持。专项工作领导小组多次牵头组织校企座谈会，加强沟通与交流，校企合作进一步推进。</w:t>
      </w:r>
    </w:p>
    <w:p>
      <w:pPr>
        <w:pStyle w:val="39"/>
        <w:bidi w:val="0"/>
        <w:rPr>
          <w:rFonts w:hint="eastAsia"/>
          <w:lang w:val="en-US" w:eastAsia="zh-CN"/>
        </w:rPr>
      </w:pPr>
      <w:r>
        <w:rPr>
          <w:rFonts w:hint="eastAsia"/>
          <w:lang w:val="en-US" w:eastAsia="zh-CN"/>
        </w:rPr>
        <w:t>目前修水中专与中泰科技达成了订单式培养合作意向，组建了两个“中泰班”，并组织召开了学生家长会，做了企业宣讲和就业前景介绍，解答了家长的疑问和顾虑。与此同时，学校与模具培训机构来普乐达成初步合作意向，企业培训基地建设也正在紧锣密鼓进行中。</w:t>
      </w:r>
    </w:p>
    <w:p>
      <w:pPr>
        <w:pStyle w:val="39"/>
        <w:bidi w:val="0"/>
        <w:rPr>
          <w:rFonts w:hint="eastAsia"/>
          <w:lang w:val="en-US" w:eastAsia="zh-CN"/>
        </w:rPr>
      </w:pPr>
    </w:p>
    <w:p>
      <w:pPr>
        <w:pStyle w:val="16"/>
        <w:ind w:left="0" w:leftChars="0" w:firstLine="0" w:firstLineChars="0"/>
        <w:rPr>
          <w:rFonts w:hint="eastAsia"/>
          <w:lang w:val="en-US" w:eastAsia="zh-CN"/>
        </w:rPr>
      </w:pPr>
      <w:r>
        <w:rPr>
          <w:rFonts w:hint="eastAsia" w:ascii="仿宋_GB2312" w:hAnsi="仿宋" w:eastAsia="仿宋_GB2312" w:cs="仿宋_GB2312"/>
          <w:sz w:val="32"/>
          <w:szCs w:val="32"/>
        </w:rPr>
        <w:drawing>
          <wp:inline distT="0" distB="0" distL="114300" distR="114300">
            <wp:extent cx="5039995" cy="3920490"/>
            <wp:effectExtent l="0" t="0" r="8255" b="3810"/>
            <wp:docPr id="53" name="图片 5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9995" cy="3920490"/>
                    </a:xfrm>
                    <a:prstGeom prst="rect">
                      <a:avLst/>
                    </a:prstGeom>
                  </pic:spPr>
                </pic:pic>
              </a:graphicData>
            </a:graphic>
          </wp:inline>
        </w:drawing>
      </w:r>
    </w:p>
    <w:p>
      <w:pPr>
        <w:pStyle w:val="40"/>
        <w:bidi w:val="0"/>
        <w:rPr>
          <w:rFonts w:hint="default"/>
          <w:lang w:val="en-US" w:eastAsia="zh-CN"/>
        </w:rPr>
      </w:pPr>
      <w:bookmarkStart w:id="82" w:name="_Toc31374"/>
      <w:r>
        <w:rPr>
          <w:rFonts w:hint="eastAsia"/>
          <w:lang w:val="en-US" w:eastAsia="zh-CN"/>
        </w:rPr>
        <w:t>图13：九江市卫生学校与武宁人民医院进行实习交流</w:t>
      </w:r>
      <w:bookmarkEnd w:id="82"/>
    </w:p>
    <w:p>
      <w:pPr>
        <w:pStyle w:val="16"/>
        <w:rPr>
          <w:rFonts w:hint="default"/>
          <w:lang w:val="en-US" w:eastAsia="zh-CN"/>
        </w:rPr>
      </w:pPr>
      <w:r>
        <w:rPr>
          <w:rFonts w:hint="eastAsia"/>
          <w:lang w:val="en-US" w:eastAsia="zh-CN"/>
        </w:rPr>
        <w:t>2023年，全市中职学校与企业共建开放型区域产教融合实践中心27个，聘请行业导师62人，年课时总量8358学时，支付行业导师课酬107.68万元。</w:t>
      </w:r>
    </w:p>
    <w:p>
      <w:pPr>
        <w:pStyle w:val="36"/>
        <w:bidi w:val="0"/>
        <w:rPr>
          <w:rFonts w:hint="eastAsia"/>
          <w:lang w:val="en-US" w:eastAsia="zh-CN"/>
        </w:rPr>
      </w:pPr>
      <w:bookmarkStart w:id="83" w:name="_Toc5048"/>
      <w:r>
        <w:rPr>
          <w:rFonts w:hint="eastAsia"/>
          <w:lang w:val="en-US" w:eastAsia="zh-CN"/>
        </w:rPr>
        <w:t>5.3 1+X试点</w:t>
      </w:r>
      <w:bookmarkEnd w:id="83"/>
    </w:p>
    <w:p>
      <w:pPr>
        <w:pStyle w:val="16"/>
        <w:rPr>
          <w:rFonts w:hint="default"/>
          <w:lang w:val="en-US" w:eastAsia="zh-CN"/>
        </w:rPr>
      </w:pPr>
      <w:r>
        <w:rPr>
          <w:rFonts w:hint="eastAsia"/>
          <w:lang w:val="en-US" w:eastAsia="zh-CN"/>
        </w:rPr>
        <w:t>各中职学校</w:t>
      </w:r>
      <w:r>
        <w:rPr>
          <w:rFonts w:hint="default"/>
          <w:lang w:val="en-US" w:eastAsia="zh-CN"/>
        </w:rPr>
        <w:t>根据专业特点和行业需求，</w:t>
      </w:r>
      <w:r>
        <w:rPr>
          <w:rFonts w:hint="eastAsia"/>
          <w:lang w:val="en-US" w:eastAsia="zh-CN"/>
        </w:rPr>
        <w:t>参与1+X试点工作。通过</w:t>
      </w:r>
      <w:r>
        <w:rPr>
          <w:rFonts w:hint="default"/>
          <w:lang w:val="en-US" w:eastAsia="zh-CN"/>
        </w:rPr>
        <w:t>组织学生参与培训和考核，</w:t>
      </w:r>
      <w:r>
        <w:rPr>
          <w:rFonts w:hint="eastAsia"/>
          <w:lang w:val="en-US" w:eastAsia="zh-CN"/>
        </w:rPr>
        <w:t>并</w:t>
      </w:r>
      <w:r>
        <w:rPr>
          <w:rFonts w:hint="default"/>
          <w:lang w:val="en-US" w:eastAsia="zh-CN"/>
        </w:rPr>
        <w:t>将证书培训内容融入日常教学中，使学生在学习专业知识的同时，也能获得相应的技能资格。</w:t>
      </w:r>
    </w:p>
    <w:p>
      <w:pPr>
        <w:pStyle w:val="37"/>
        <w:bidi w:val="0"/>
        <w:rPr>
          <w:rFonts w:hint="default"/>
          <w:lang w:val="en-US" w:eastAsia="zh-CN"/>
        </w:rPr>
      </w:pPr>
      <w:bookmarkStart w:id="84" w:name="_Toc21910"/>
      <w:r>
        <w:rPr>
          <w:rFonts w:hint="eastAsia"/>
          <w:lang w:val="en-US" w:eastAsia="zh-CN"/>
        </w:rPr>
        <w:t>案例10：九江科技中专1+X职业技能等级证书制度试点</w:t>
      </w:r>
      <w:bookmarkEnd w:id="84"/>
    </w:p>
    <w:p>
      <w:pPr>
        <w:pStyle w:val="39"/>
        <w:bidi w:val="0"/>
        <w:rPr>
          <w:rFonts w:hint="default"/>
          <w:lang w:val="en-US" w:eastAsia="zh-CN"/>
        </w:rPr>
      </w:pPr>
      <w:r>
        <w:rPr>
          <w:rFonts w:hint="default"/>
          <w:lang w:val="en-US" w:eastAsia="zh-CN"/>
        </w:rPr>
        <w:t>汽车产业的发展可谓日新月异，而支撑产业可持续发展的关键，则是掌握新技术技能的员工，这就要求专业的教学必须符合产业发展的需求。</w:t>
      </w:r>
    </w:p>
    <w:p>
      <w:pPr>
        <w:pStyle w:val="39"/>
        <w:bidi w:val="0"/>
        <w:rPr>
          <w:rFonts w:hint="default"/>
          <w:lang w:val="en-US" w:eastAsia="zh-CN"/>
        </w:rPr>
      </w:pPr>
      <w:r>
        <w:rPr>
          <w:rFonts w:hint="default"/>
          <w:lang w:val="en-US" w:eastAsia="zh-CN"/>
        </w:rPr>
        <w:t>2019年，学校汽车运用与维修专业和智能新能源汽车专业双双成为国家首批1+X职业技能等级证书制度试点专业，学校一次性投入470万元对专业实训室进行了高规格扩建。在2023年全国1+X考证工作中表现亮眼，汽车运用与维修职业技能等级证书</w:t>
      </w:r>
      <w:r>
        <w:rPr>
          <w:rFonts w:hint="eastAsia"/>
          <w:lang w:val="en-US" w:eastAsia="zh-CN"/>
        </w:rPr>
        <w:t>（</w:t>
      </w:r>
      <w:r>
        <w:rPr>
          <w:rFonts w:hint="default"/>
          <w:lang w:val="en-US" w:eastAsia="zh-CN"/>
        </w:rPr>
        <w:t>中级</w:t>
      </w:r>
      <w:r>
        <w:rPr>
          <w:rFonts w:hint="eastAsia"/>
          <w:lang w:val="en-US" w:eastAsia="zh-CN"/>
        </w:rPr>
        <w:t>）</w:t>
      </w:r>
      <w:r>
        <w:rPr>
          <w:rFonts w:hint="default"/>
          <w:lang w:val="en-US" w:eastAsia="zh-CN"/>
        </w:rPr>
        <w:t>32 人、智能网联汽车检测与运维职业技能等级证书</w:t>
      </w:r>
      <w:r>
        <w:rPr>
          <w:rFonts w:hint="eastAsia"/>
          <w:lang w:val="en-US" w:eastAsia="zh-CN"/>
        </w:rPr>
        <w:t>（</w:t>
      </w:r>
      <w:r>
        <w:rPr>
          <w:rFonts w:hint="default"/>
          <w:lang w:val="en-US" w:eastAsia="zh-CN"/>
        </w:rPr>
        <w:t>初级</w:t>
      </w:r>
      <w:r>
        <w:rPr>
          <w:rFonts w:hint="eastAsia"/>
          <w:lang w:val="en-US" w:eastAsia="zh-CN"/>
        </w:rPr>
        <w:t>）</w:t>
      </w:r>
      <w:r>
        <w:rPr>
          <w:rFonts w:hint="default"/>
          <w:lang w:val="en-US" w:eastAsia="zh-CN"/>
        </w:rPr>
        <w:t>30人、智能新能源汽车职业技能等级证书</w:t>
      </w:r>
      <w:r>
        <w:rPr>
          <w:rFonts w:hint="eastAsia"/>
          <w:lang w:val="en-US" w:eastAsia="zh-CN"/>
        </w:rPr>
        <w:t>（</w:t>
      </w:r>
      <w:r>
        <w:rPr>
          <w:rFonts w:hint="default"/>
          <w:lang w:val="en-US" w:eastAsia="zh-CN"/>
        </w:rPr>
        <w:t>初级</w:t>
      </w:r>
      <w:r>
        <w:rPr>
          <w:rFonts w:hint="eastAsia"/>
          <w:lang w:val="en-US" w:eastAsia="zh-CN"/>
        </w:rPr>
        <w:t>）</w:t>
      </w:r>
      <w:r>
        <w:rPr>
          <w:rFonts w:hint="default"/>
          <w:lang w:val="en-US" w:eastAsia="zh-CN"/>
        </w:rPr>
        <w:t>32人（汽车专业三门共94人推迟到下学期开学考试），通过率达99%以上</w:t>
      </w:r>
    </w:p>
    <w:p>
      <w:pPr>
        <w:pStyle w:val="16"/>
        <w:rPr>
          <w:rFonts w:hint="default"/>
          <w:lang w:val="en-US" w:eastAsia="zh-CN"/>
        </w:rPr>
      </w:pPr>
    </w:p>
    <w:p>
      <w:pPr>
        <w:pStyle w:val="16"/>
        <w:rPr>
          <w:rFonts w:hint="default"/>
          <w:lang w:val="en-US" w:eastAsia="zh-CN"/>
        </w:rPr>
      </w:pPr>
      <w:r>
        <w:rPr>
          <w:rFonts w:hint="eastAsia"/>
          <w:lang w:val="en-US" w:eastAsia="zh-CN"/>
        </w:rPr>
        <w:t>2023年，全市中职学校共建有1+X考级站60个，在建10个，覆盖专业点51个，试点覆盖学生5419人。全年共有1511人次通过相关证书考试。</w:t>
      </w:r>
    </w:p>
    <w:p>
      <w:pPr>
        <w:pStyle w:val="36"/>
        <w:bidi w:val="0"/>
        <w:rPr>
          <w:rFonts w:hint="eastAsia"/>
          <w:lang w:val="en-US" w:eastAsia="zh-CN"/>
        </w:rPr>
      </w:pPr>
      <w:bookmarkStart w:id="85" w:name="_Toc20662"/>
      <w:r>
        <w:rPr>
          <w:rFonts w:hint="eastAsia"/>
          <w:lang w:val="en-US" w:eastAsia="zh-CN"/>
        </w:rPr>
        <w:t>5.4 实习实训</w:t>
      </w:r>
      <w:bookmarkEnd w:id="85"/>
    </w:p>
    <w:p>
      <w:pPr>
        <w:pStyle w:val="16"/>
        <w:rPr>
          <w:rFonts w:hint="default"/>
          <w:lang w:val="en-US" w:eastAsia="zh-CN"/>
        </w:rPr>
      </w:pPr>
      <w:r>
        <w:rPr>
          <w:rFonts w:hint="eastAsia"/>
          <w:lang w:val="en-US" w:eastAsia="zh-CN"/>
        </w:rPr>
        <w:t>各中职学校从深入贯彻落实教育部等八部委《职业学校学生实习管理规定》，尤其是对1个“严禁”、27个“不得”，坚决做到不容忍、不姑息。坚持在校学习5个学期、一个学期赴企业岗位实习的教育模式。通过工学结合、订单培养等多种形式，积极稳妥地安排实习生到企业参加岗位实习，取得显著成效。</w:t>
      </w:r>
    </w:p>
    <w:p>
      <w:pPr>
        <w:pStyle w:val="16"/>
        <w:rPr>
          <w:rFonts w:hint="default"/>
          <w:lang w:val="en-US" w:eastAsia="zh-CN"/>
        </w:rPr>
      </w:pPr>
      <w:r>
        <w:rPr>
          <w:rFonts w:hint="default"/>
          <w:lang w:val="en-US" w:eastAsia="zh-CN"/>
        </w:rPr>
        <w:t>为更好地了解学生实习情况并提供服务，</w:t>
      </w:r>
      <w:r>
        <w:rPr>
          <w:rFonts w:hint="eastAsia"/>
          <w:lang w:val="en-US" w:eastAsia="zh-CN"/>
        </w:rPr>
        <w:t>各中职</w:t>
      </w:r>
      <w:r>
        <w:rPr>
          <w:rFonts w:hint="default"/>
          <w:lang w:val="en-US" w:eastAsia="zh-CN"/>
        </w:rPr>
        <w:t>学校建立了学生实习跟踪服务机制</w:t>
      </w:r>
      <w:r>
        <w:rPr>
          <w:rFonts w:hint="eastAsia"/>
          <w:lang w:val="en-US" w:eastAsia="zh-CN"/>
        </w:rPr>
        <w:t>，</w:t>
      </w:r>
      <w:r>
        <w:rPr>
          <w:rFonts w:hint="default"/>
          <w:lang w:val="en-US" w:eastAsia="zh-CN"/>
        </w:rPr>
        <w:t>为每个学生建立实习档案，记录学生的实习情况、表现和评估结果</w:t>
      </w:r>
      <w:r>
        <w:rPr>
          <w:rFonts w:hint="eastAsia"/>
          <w:lang w:val="en-US" w:eastAsia="zh-CN"/>
        </w:rPr>
        <w:t>，</w:t>
      </w:r>
      <w:r>
        <w:rPr>
          <w:rFonts w:hint="default"/>
          <w:lang w:val="en-US" w:eastAsia="zh-CN"/>
        </w:rPr>
        <w:t>定期回访企业和学生，了解学生的实习情况和生活状况，提供必要的帮助和支持</w:t>
      </w:r>
      <w:r>
        <w:rPr>
          <w:rFonts w:hint="eastAsia"/>
          <w:lang w:val="en-US" w:eastAsia="zh-CN"/>
        </w:rPr>
        <w:t>。</w:t>
      </w:r>
      <w:r>
        <w:rPr>
          <w:rFonts w:hint="default"/>
          <w:lang w:val="en-US" w:eastAsia="zh-CN"/>
        </w:rPr>
        <w:t>对于学生在实习中遇到的问题，及时与企业沟通协调，帮助解决问题</w:t>
      </w:r>
      <w:r>
        <w:rPr>
          <w:rFonts w:hint="eastAsia"/>
          <w:lang w:val="en-US" w:eastAsia="zh-CN"/>
        </w:rPr>
        <w:t>，</w:t>
      </w:r>
      <w:r>
        <w:rPr>
          <w:rFonts w:hint="default"/>
          <w:lang w:val="en-US" w:eastAsia="zh-CN"/>
        </w:rPr>
        <w:t>确保学生能够通过实习获得宝贵的实践经验和职业发展机会。</w:t>
      </w:r>
    </w:p>
    <w:p>
      <w:pPr>
        <w:pStyle w:val="16"/>
        <w:rPr>
          <w:rFonts w:hint="eastAsia"/>
          <w:lang w:val="en-US" w:eastAsia="zh-CN"/>
        </w:rPr>
      </w:pPr>
    </w:p>
    <w:p>
      <w:pPr>
        <w:pStyle w:val="16"/>
        <w:ind w:left="0" w:leftChars="0" w:firstLine="0" w:firstLineChars="0"/>
        <w:jc w:val="center"/>
        <w:rPr>
          <w:rFonts w:hint="eastAsia" w:ascii="宋体" w:hAnsi="宋体" w:cs="Arial"/>
          <w:color w:val="000000"/>
          <w:sz w:val="21"/>
          <w:szCs w:val="21"/>
        </w:rPr>
      </w:pPr>
      <w:r>
        <w:rPr>
          <w:rFonts w:hint="eastAsia" w:ascii="宋体" w:hAnsi="宋体" w:cs="Arial"/>
          <w:color w:val="000000"/>
          <w:sz w:val="21"/>
          <w:szCs w:val="21"/>
        </w:rPr>
        <w:drawing>
          <wp:inline distT="0" distB="0" distL="114300" distR="114300">
            <wp:extent cx="5039995" cy="2834640"/>
            <wp:effectExtent l="0" t="0" r="8255" b="3810"/>
            <wp:docPr id="5"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3"/>
                    <pic:cNvPicPr>
                      <a:picLocks noChangeAspect="1"/>
                    </pic:cNvPicPr>
                  </pic:nvPicPr>
                  <pic:blipFill>
                    <a:blip r:embed="rId21"/>
                    <a:stretch>
                      <a:fillRect/>
                    </a:stretch>
                  </pic:blipFill>
                  <pic:spPr>
                    <a:xfrm>
                      <a:off x="0" y="0"/>
                      <a:ext cx="5039995" cy="2834640"/>
                    </a:xfrm>
                    <a:prstGeom prst="rect">
                      <a:avLst/>
                    </a:prstGeom>
                    <a:noFill/>
                    <a:ln>
                      <a:noFill/>
                    </a:ln>
                  </pic:spPr>
                </pic:pic>
              </a:graphicData>
            </a:graphic>
          </wp:inline>
        </w:drawing>
      </w:r>
    </w:p>
    <w:p>
      <w:pPr>
        <w:pStyle w:val="40"/>
        <w:bidi w:val="0"/>
        <w:rPr>
          <w:rFonts w:hint="eastAsia"/>
          <w:lang w:val="en-US" w:eastAsia="zh-CN"/>
        </w:rPr>
      </w:pPr>
      <w:bookmarkStart w:id="86" w:name="_Toc25216"/>
      <w:r>
        <w:rPr>
          <w:rFonts w:hint="eastAsia"/>
          <w:lang w:val="en-US" w:eastAsia="zh-CN"/>
        </w:rPr>
        <w:t>图14：都昌中专学生进行专业技能操作</w:t>
      </w:r>
      <w:bookmarkEnd w:id="86"/>
    </w:p>
    <w:p>
      <w:pPr>
        <w:pStyle w:val="16"/>
        <w:ind w:left="0" w:leftChars="0" w:firstLine="0" w:firstLineChars="0"/>
        <w:jc w:val="center"/>
        <w:rPr>
          <w:position w:val="-83"/>
          <w:lang w:eastAsia="zh-CN"/>
        </w:rPr>
      </w:pPr>
      <w:r>
        <w:rPr>
          <w:position w:val="-83"/>
          <w:lang w:eastAsia="zh-CN"/>
        </w:rPr>
        <w:drawing>
          <wp:inline distT="0" distB="0" distL="0" distR="0">
            <wp:extent cx="5039995" cy="2543175"/>
            <wp:effectExtent l="0" t="0" r="8255" b="9525"/>
            <wp:docPr id="102" name="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 102"/>
                    <pic:cNvPicPr>
                      <a:picLocks noChangeAspect="1"/>
                    </pic:cNvPicPr>
                  </pic:nvPicPr>
                  <pic:blipFill>
                    <a:blip r:embed="rId22"/>
                    <a:stretch>
                      <a:fillRect/>
                    </a:stretch>
                  </pic:blipFill>
                  <pic:spPr>
                    <a:xfrm>
                      <a:off x="0" y="0"/>
                      <a:ext cx="5039995" cy="2543175"/>
                    </a:xfrm>
                    <a:prstGeom prst="rect">
                      <a:avLst/>
                    </a:prstGeom>
                  </pic:spPr>
                </pic:pic>
              </a:graphicData>
            </a:graphic>
          </wp:inline>
        </w:drawing>
      </w:r>
    </w:p>
    <w:p>
      <w:pPr>
        <w:pStyle w:val="40"/>
        <w:bidi w:val="0"/>
        <w:rPr>
          <w:rFonts w:hint="eastAsia"/>
          <w:lang w:val="en-US" w:eastAsia="zh-CN"/>
        </w:rPr>
      </w:pPr>
      <w:bookmarkStart w:id="87" w:name="_Toc32461"/>
      <w:r>
        <w:rPr>
          <w:rFonts w:hint="eastAsia"/>
          <w:lang w:val="en-US" w:eastAsia="zh-CN"/>
        </w:rPr>
        <w:t>图15：瑞昌中专幼保专业学生在幼儿园实习</w:t>
      </w:r>
      <w:bookmarkEnd w:id="87"/>
    </w:p>
    <w:p>
      <w:pPr>
        <w:pStyle w:val="16"/>
        <w:rPr>
          <w:rFonts w:hint="eastAsia"/>
          <w:lang w:val="en-US" w:eastAsia="zh-CN"/>
        </w:rPr>
      </w:pPr>
      <w:r>
        <w:rPr>
          <w:rFonts w:hint="eastAsia"/>
          <w:lang w:val="en-US" w:eastAsia="zh-CN"/>
        </w:rPr>
        <w:t>2023年各中职学校在实习管理工作中共投入110.28万元专项经费，其中实习责任保险经费13.37万元。</w:t>
      </w:r>
    </w:p>
    <w:p>
      <w:pPr>
        <w:pStyle w:val="16"/>
        <w:rPr>
          <w:rFonts w:hint="default"/>
          <w:lang w:val="en-US" w:eastAsia="zh-CN"/>
        </w:rPr>
      </w:pPr>
      <w:r>
        <w:rPr>
          <w:rFonts w:hint="default"/>
          <w:lang w:val="en-US" w:eastAsia="zh-CN"/>
        </w:rPr>
        <w:t>2023年各中职学校合计校内工位数12.56万个，生均校内实践教学工位3.33个。</w:t>
      </w:r>
    </w:p>
    <w:p>
      <w:pPr>
        <w:rPr>
          <w:rFonts w:hint="default"/>
          <w:lang w:val="en-US" w:eastAsia="zh-CN"/>
        </w:rPr>
      </w:pPr>
      <w:r>
        <w:rPr>
          <w:rFonts w:hint="default"/>
          <w:lang w:val="en-US" w:eastAsia="zh-CN"/>
        </w:rPr>
        <w:br w:type="page"/>
      </w:r>
    </w:p>
    <w:p>
      <w:pPr>
        <w:pStyle w:val="15"/>
        <w:numPr>
          <w:ilvl w:val="0"/>
          <w:numId w:val="0"/>
        </w:numPr>
        <w:bidi w:val="0"/>
        <w:ind w:left="0" w:leftChars="0" w:firstLine="640" w:firstLineChars="200"/>
        <w:rPr>
          <w:rFonts w:hint="eastAsia"/>
          <w:lang w:val="en-US" w:eastAsia="zh-CN"/>
        </w:rPr>
      </w:pPr>
      <w:bookmarkStart w:id="88" w:name="_Toc14704"/>
      <w:bookmarkStart w:id="89" w:name="_Toc5580"/>
      <w:r>
        <w:rPr>
          <w:rFonts w:hint="eastAsia"/>
          <w:lang w:val="en-US" w:eastAsia="zh-CN"/>
        </w:rPr>
        <w:t>6 发展保障</w:t>
      </w:r>
      <w:bookmarkEnd w:id="88"/>
      <w:bookmarkEnd w:id="89"/>
    </w:p>
    <w:p>
      <w:pPr>
        <w:pStyle w:val="36"/>
        <w:bidi w:val="0"/>
        <w:rPr>
          <w:rFonts w:hint="default"/>
          <w:lang w:val="en-US" w:eastAsia="zh-CN"/>
        </w:rPr>
      </w:pPr>
      <w:bookmarkStart w:id="90" w:name="_Toc28519"/>
      <w:bookmarkStart w:id="91" w:name="_Toc2699"/>
      <w:r>
        <w:rPr>
          <w:rFonts w:hint="eastAsia"/>
          <w:lang w:val="en-US" w:eastAsia="zh-CN"/>
        </w:rPr>
        <w:t>6</w:t>
      </w:r>
      <w:r>
        <w:rPr>
          <w:rFonts w:hint="default"/>
          <w:lang w:val="en-US" w:eastAsia="zh-CN"/>
        </w:rPr>
        <w:t>.1</w:t>
      </w:r>
      <w:r>
        <w:rPr>
          <w:rFonts w:hint="eastAsia"/>
          <w:lang w:val="en-US" w:eastAsia="zh-CN"/>
        </w:rPr>
        <w:t xml:space="preserve"> </w:t>
      </w:r>
      <w:r>
        <w:rPr>
          <w:rFonts w:hint="default"/>
          <w:lang w:val="en-US" w:eastAsia="zh-CN"/>
        </w:rPr>
        <w:t>党建引领</w:t>
      </w:r>
      <w:bookmarkEnd w:id="90"/>
      <w:bookmarkEnd w:id="91"/>
    </w:p>
    <w:p>
      <w:pPr>
        <w:pStyle w:val="16"/>
        <w:rPr>
          <w:rFonts w:hint="default"/>
          <w:lang w:val="en-US" w:eastAsia="zh-CN"/>
        </w:rPr>
      </w:pPr>
      <w:r>
        <w:rPr>
          <w:rFonts w:hint="eastAsia"/>
          <w:lang w:val="en-US" w:eastAsia="zh-CN"/>
        </w:rPr>
        <w:t>各中职学校</w:t>
      </w:r>
      <w:r>
        <w:rPr>
          <w:rFonts w:hint="default"/>
          <w:lang w:val="en-US" w:eastAsia="zh-CN"/>
        </w:rPr>
        <w:t>以习近平新时代中国特色社会主义思想为指引，牢牢把握新时代党的建设总要求，以“大党建”思维，统领学校教育教学全过程</w:t>
      </w:r>
      <w:r>
        <w:rPr>
          <w:rFonts w:hint="eastAsia"/>
          <w:lang w:val="en-US" w:eastAsia="zh-CN"/>
        </w:rPr>
        <w:t>，</w:t>
      </w:r>
      <w:r>
        <w:rPr>
          <w:rFonts w:hint="default"/>
          <w:lang w:val="en-US" w:eastAsia="zh-CN"/>
        </w:rPr>
        <w:t>聚焦“学思想、强党性、重实践、建新功”目标要求</w:t>
      </w:r>
      <w:r>
        <w:rPr>
          <w:rFonts w:hint="eastAsia"/>
          <w:lang w:val="en-US" w:eastAsia="zh-CN"/>
        </w:rPr>
        <w:t>，</w:t>
      </w:r>
      <w:r>
        <w:rPr>
          <w:rFonts w:hint="default"/>
          <w:lang w:val="en-US" w:eastAsia="zh-CN"/>
        </w:rPr>
        <w:t>把学习习近平新时代中国特色社会主义思想转化为坚定理想、锤炼党性、指导实践、推动工作的强大力量，</w:t>
      </w:r>
      <w:r>
        <w:rPr>
          <w:rFonts w:hint="eastAsia"/>
          <w:lang w:val="en-US" w:eastAsia="zh-CN"/>
        </w:rPr>
        <w:t>深入开展</w:t>
      </w:r>
      <w:r>
        <w:rPr>
          <w:rFonts w:hint="default"/>
          <w:lang w:val="en-US" w:eastAsia="zh-CN"/>
        </w:rPr>
        <w:t>学习贯彻习近平新时代中国特色社会主义思想主题教育。</w:t>
      </w:r>
    </w:p>
    <w:p>
      <w:pPr>
        <w:pStyle w:val="37"/>
        <w:bidi w:val="0"/>
        <w:ind w:left="0" w:leftChars="0" w:firstLine="0" w:firstLineChars="0"/>
        <w:outlineLvl w:val="0"/>
        <w:rPr>
          <w:rFonts w:hint="default"/>
          <w:lang w:val="en-US" w:eastAsia="zh-CN"/>
        </w:rPr>
      </w:pPr>
      <w:bookmarkStart w:id="92" w:name="_Toc10376"/>
      <w:r>
        <w:rPr>
          <w:rFonts w:hint="default"/>
          <w:lang w:val="en-US" w:eastAsia="zh-CN"/>
        </w:rPr>
        <w:t>案例</w:t>
      </w:r>
      <w:r>
        <w:rPr>
          <w:rFonts w:hint="eastAsia"/>
          <w:lang w:val="en-US" w:eastAsia="zh-CN"/>
        </w:rPr>
        <w:t>11</w:t>
      </w:r>
      <w:r>
        <w:rPr>
          <w:rFonts w:hint="default"/>
          <w:lang w:val="en-US" w:eastAsia="zh-CN"/>
        </w:rPr>
        <w:t>：九江市理工职业技术学校</w:t>
      </w:r>
      <w:r>
        <w:rPr>
          <w:rFonts w:hint="eastAsia"/>
          <w:lang w:val="en-US" w:eastAsia="zh-CN"/>
        </w:rPr>
        <w:t>开展</w:t>
      </w:r>
      <w:r>
        <w:rPr>
          <w:rFonts w:hint="default"/>
          <w:lang w:val="en-US" w:eastAsia="zh-CN"/>
        </w:rPr>
        <w:t>主题教育活动</w:t>
      </w:r>
      <w:bookmarkEnd w:id="92"/>
    </w:p>
    <w:p>
      <w:pPr>
        <w:pStyle w:val="39"/>
        <w:bidi w:val="0"/>
        <w:rPr>
          <w:rFonts w:hint="default"/>
          <w:lang w:val="en-US" w:eastAsia="zh-CN"/>
        </w:rPr>
      </w:pPr>
      <w:r>
        <w:rPr>
          <w:rFonts w:hint="default"/>
          <w:lang w:val="en-US" w:eastAsia="zh-CN"/>
        </w:rPr>
        <w:t>为进一步丰富学校学习贯彻习近平新时代中国特色社会主义思想主题教育形式，充分利用红色资源教育引导党员领导干部从党史中汲取奋进新时代的磅礴力量，切实推动学校主题教育走深走实，学校党支部书记率全体党员前往德安革命历史陈列馆开展“弘扬革命精神 传承红色基因 凝聚奋进力量”主题党日活动，深切缅怀革命先烈、感悟红色精神、汲取奋进力量。走进革命历史陈列馆，大家通过参观“迎来曙光、武装暴动、苏区斗争、德安解放”等展厅，加深了对德安革命历史的认识。一张张记载历史的照片、一幕幕感人至深的场景、一个个催人泪下的故事，九理全体党员认真聆听、重温历史，深刻感悟老一辈革命家舍己为国的奉献精神和视死如归的革命精神。本次党日活动是一次深刻的思想洗礼。大家纷纷表示，在今后的工作中，一定要学习革命先辈艰苦奋斗的作风，赓续红色血脉，传承红色基因，坚守为党育人、为国育才，团结一心，以实际行动奋力推进九理教育事业高质量发展。</w:t>
      </w:r>
    </w:p>
    <w:p>
      <w:pPr>
        <w:pStyle w:val="39"/>
        <w:bidi w:val="0"/>
        <w:rPr>
          <w:rFonts w:hint="default"/>
          <w:lang w:val="en-US" w:eastAsia="zh-CN"/>
        </w:rPr>
      </w:pPr>
    </w:p>
    <w:p>
      <w:pPr>
        <w:pStyle w:val="16"/>
        <w:rPr>
          <w:rFonts w:hint="eastAsia"/>
          <w:lang w:val="en-US" w:eastAsia="zh-CN"/>
        </w:rPr>
      </w:pPr>
      <w:r>
        <w:rPr>
          <w:rFonts w:hint="eastAsia"/>
          <w:lang w:val="en-US" w:eastAsia="zh-CN"/>
        </w:rPr>
        <w:t>各中职学校坚持党建引领学生发展，通过确立党建促团建的工作思路，牢牢把握立德树人根本任务，充分发挥共青团育人优势，认真组织、扎实推进，广大党员干部在党建促团建示范引领活动中，起到了良好的带头作用。</w:t>
      </w:r>
    </w:p>
    <w:p>
      <w:pPr>
        <w:pStyle w:val="16"/>
        <w:ind w:left="0" w:leftChars="0" w:firstLine="0" w:firstLineChars="0"/>
        <w:jc w:val="center"/>
        <w:rPr>
          <w:rFonts w:hint="eastAsia"/>
          <w:lang w:val="en-US" w:eastAsia="zh-CN"/>
        </w:rPr>
      </w:pPr>
      <w:r>
        <w:rPr>
          <w:rFonts w:hint="eastAsia"/>
          <w:lang w:val="en-US" w:eastAsia="zh-CN"/>
        </w:rPr>
        <w:drawing>
          <wp:inline distT="0" distB="0" distL="114300" distR="114300">
            <wp:extent cx="5039995" cy="3538220"/>
            <wp:effectExtent l="0" t="0" r="8255" b="5080"/>
            <wp:docPr id="20" name="图片 4" descr="f41d98da49fad943d2015fac6454d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f41d98da49fad943d2015fac6454d52"/>
                    <pic:cNvPicPr>
                      <a:picLocks noChangeAspect="1"/>
                    </pic:cNvPicPr>
                  </pic:nvPicPr>
                  <pic:blipFill>
                    <a:blip r:embed="rId23"/>
                    <a:srcRect b="16591"/>
                    <a:stretch>
                      <a:fillRect/>
                    </a:stretch>
                  </pic:blipFill>
                  <pic:spPr>
                    <a:xfrm>
                      <a:off x="0" y="0"/>
                      <a:ext cx="5039995" cy="3538220"/>
                    </a:xfrm>
                    <a:prstGeom prst="rect">
                      <a:avLst/>
                    </a:prstGeom>
                    <a:noFill/>
                    <a:ln>
                      <a:noFill/>
                    </a:ln>
                  </pic:spPr>
                </pic:pic>
              </a:graphicData>
            </a:graphic>
          </wp:inline>
        </w:drawing>
      </w:r>
    </w:p>
    <w:p>
      <w:pPr>
        <w:pStyle w:val="40"/>
        <w:bidi w:val="0"/>
        <w:rPr>
          <w:rFonts w:hint="eastAsia"/>
          <w:lang w:val="en-US" w:eastAsia="zh-CN"/>
        </w:rPr>
      </w:pPr>
      <w:bookmarkStart w:id="93" w:name="_Toc8363"/>
      <w:r>
        <w:rPr>
          <w:rFonts w:hint="eastAsia"/>
          <w:lang w:val="en-US" w:eastAsia="zh-CN"/>
        </w:rPr>
        <w:t>图16：江西九江科技中等专业学校组织师生到部队送演</w:t>
      </w:r>
      <w:bookmarkEnd w:id="93"/>
    </w:p>
    <w:p>
      <w:pPr>
        <w:pStyle w:val="36"/>
        <w:bidi w:val="0"/>
        <w:rPr>
          <w:rFonts w:hint="eastAsia"/>
          <w:lang w:val="en-US" w:eastAsia="zh-CN"/>
        </w:rPr>
      </w:pPr>
      <w:bookmarkStart w:id="94" w:name="_Toc30656"/>
      <w:r>
        <w:rPr>
          <w:rFonts w:hint="eastAsia"/>
          <w:lang w:val="en-US" w:eastAsia="zh-CN"/>
        </w:rPr>
        <w:t>6.2 政策支持</w:t>
      </w:r>
      <w:bookmarkEnd w:id="94"/>
    </w:p>
    <w:p>
      <w:pPr>
        <w:pStyle w:val="16"/>
        <w:bidi w:val="0"/>
        <w:rPr>
          <w:rFonts w:hint="eastAsia"/>
          <w:lang w:val="en-US" w:eastAsia="zh-CN"/>
        </w:rPr>
      </w:pPr>
      <w:r>
        <w:rPr>
          <w:rFonts w:hint="eastAsia"/>
          <w:lang w:val="en-US" w:eastAsia="zh-CN"/>
        </w:rPr>
        <w:t>近年来，国家对职业教育给予了全方位的政策支持。《教育部 江西省人民政府关于整省推进 职业教育综合改革提质创优的意见》中提出，要逐步提高职业院校生均拨款标准，新增财政性教育经费向职业教育倾斜。2023年，江西省教育厅等五部门印发了《江西省职业学校办学条件达标工作实施方案》。省委、省政府印发了《江西省深化职业教育技工教育改革服务产业高质量发展的若干措施》。</w:t>
      </w:r>
    </w:p>
    <w:p>
      <w:pPr>
        <w:pStyle w:val="16"/>
        <w:bidi w:val="0"/>
        <w:rPr>
          <w:rFonts w:hint="default"/>
          <w:color w:val="FF0000"/>
          <w:lang w:val="en-US" w:eastAsia="zh-CN"/>
        </w:rPr>
      </w:pPr>
      <w:r>
        <w:rPr>
          <w:rFonts w:hint="eastAsia"/>
          <w:lang w:val="en-US" w:eastAsia="zh-CN"/>
        </w:rPr>
        <w:t>九江市人民政府印发了《九江市人民政府关于印发职业教育综合改革提质创优实施方案的通知》《九江市中等职业学校建设规划（2021-2025）》，九江市教育局与财政局联合印发了《九江市职业教育发展专项资金管理办法（试行）》，九江市教育局等五部门印发了《九江市职业学校办学条件达标工作实施方案》都为本市职业教育发展提供了强大的政策支持。</w:t>
      </w:r>
    </w:p>
    <w:p>
      <w:pPr>
        <w:pStyle w:val="36"/>
        <w:bidi w:val="0"/>
        <w:rPr>
          <w:rFonts w:hint="default"/>
          <w:lang w:val="en-US" w:eastAsia="zh-CN"/>
        </w:rPr>
      </w:pPr>
      <w:bookmarkStart w:id="95" w:name="_Toc18295"/>
      <w:r>
        <w:rPr>
          <w:rFonts w:hint="eastAsia"/>
          <w:lang w:val="en-US" w:eastAsia="zh-CN"/>
        </w:rPr>
        <w:t>6.3 经费投入</w:t>
      </w:r>
      <w:bookmarkEnd w:id="95"/>
    </w:p>
    <w:p>
      <w:pPr>
        <w:pStyle w:val="16"/>
        <w:rPr>
          <w:rFonts w:hint="default"/>
          <w:lang w:val="en-US" w:eastAsia="zh-CN"/>
        </w:rPr>
      </w:pPr>
      <w:r>
        <w:rPr>
          <w:rFonts w:hint="default"/>
          <w:lang w:val="en-US" w:eastAsia="zh-CN"/>
        </w:rPr>
        <w:t>202</w:t>
      </w:r>
      <w:r>
        <w:rPr>
          <w:rFonts w:hint="eastAsia"/>
          <w:lang w:val="en-US" w:eastAsia="zh-CN"/>
        </w:rPr>
        <w:t>3</w:t>
      </w:r>
      <w:r>
        <w:rPr>
          <w:rFonts w:hint="default"/>
          <w:lang w:val="en-US" w:eastAsia="zh-CN"/>
        </w:rPr>
        <w:t>年全市中职学校共获财政拨款</w:t>
      </w:r>
      <w:r>
        <w:rPr>
          <w:rFonts w:hint="eastAsia"/>
          <w:lang w:val="en-US" w:eastAsia="zh-CN"/>
        </w:rPr>
        <w:t>19842.17</w:t>
      </w:r>
      <w:r>
        <w:rPr>
          <w:rFonts w:hint="default"/>
          <w:lang w:val="en-US" w:eastAsia="zh-CN"/>
        </w:rPr>
        <w:t>万元，接受企业捐赠设备总值</w:t>
      </w:r>
      <w:r>
        <w:rPr>
          <w:rFonts w:hint="eastAsia"/>
          <w:lang w:val="en-US" w:eastAsia="zh-CN"/>
        </w:rPr>
        <w:t>1390.19</w:t>
      </w:r>
      <w:r>
        <w:rPr>
          <w:rFonts w:hint="default"/>
          <w:lang w:val="en-US" w:eastAsia="zh-CN"/>
        </w:rPr>
        <w:t>万元。学生资助方面，共免学费</w:t>
      </w:r>
      <w:r>
        <w:rPr>
          <w:rFonts w:hint="eastAsia"/>
          <w:lang w:val="en-US" w:eastAsia="zh-CN"/>
        </w:rPr>
        <w:t>7508.51</w:t>
      </w:r>
      <w:r>
        <w:rPr>
          <w:rFonts w:hint="default"/>
          <w:lang w:val="en-US" w:eastAsia="zh-CN"/>
        </w:rPr>
        <w:t>万元，为困难学生申请国家助学金</w:t>
      </w:r>
      <w:r>
        <w:rPr>
          <w:rFonts w:hint="eastAsia"/>
          <w:lang w:val="en-US" w:eastAsia="zh-CN"/>
        </w:rPr>
        <w:t>948.79</w:t>
      </w:r>
      <w:r>
        <w:rPr>
          <w:rFonts w:hint="default"/>
          <w:lang w:val="en-US" w:eastAsia="zh-CN"/>
        </w:rPr>
        <w:t>万元，发放社会助学金</w:t>
      </w:r>
      <w:r>
        <w:rPr>
          <w:rFonts w:hint="eastAsia"/>
          <w:lang w:val="en-US" w:eastAsia="zh-CN"/>
        </w:rPr>
        <w:t>7.78</w:t>
      </w:r>
      <w:r>
        <w:rPr>
          <w:rFonts w:hint="default"/>
          <w:lang w:val="en-US" w:eastAsia="zh-CN"/>
        </w:rPr>
        <w:t>万元、地方政府助学金</w:t>
      </w:r>
      <w:r>
        <w:rPr>
          <w:rFonts w:hint="eastAsia"/>
          <w:lang w:val="en-US" w:eastAsia="zh-CN"/>
        </w:rPr>
        <w:t>50.2</w:t>
      </w:r>
      <w:r>
        <w:rPr>
          <w:rFonts w:hint="default"/>
          <w:lang w:val="en-US" w:eastAsia="zh-CN"/>
        </w:rPr>
        <w:t>万元、学校助学金</w:t>
      </w:r>
      <w:r>
        <w:rPr>
          <w:rFonts w:hint="eastAsia"/>
          <w:lang w:val="en-US" w:eastAsia="zh-CN"/>
        </w:rPr>
        <w:t>21.19</w:t>
      </w:r>
      <w:r>
        <w:rPr>
          <w:rFonts w:hint="default"/>
          <w:lang w:val="en-US" w:eastAsia="zh-CN"/>
        </w:rPr>
        <w:t>万元。</w:t>
      </w:r>
    </w:p>
    <w:p>
      <w:pPr>
        <w:rPr>
          <w:rFonts w:hint="default"/>
          <w:lang w:val="en-US" w:eastAsia="zh-CN"/>
        </w:rPr>
      </w:pPr>
      <w:r>
        <w:rPr>
          <w:rFonts w:hint="default"/>
          <w:lang w:val="en-US" w:eastAsia="zh-CN"/>
        </w:rPr>
        <w:br w:type="page"/>
      </w:r>
    </w:p>
    <w:p>
      <w:pPr>
        <w:pStyle w:val="15"/>
        <w:numPr>
          <w:ilvl w:val="0"/>
          <w:numId w:val="0"/>
        </w:numPr>
        <w:bidi w:val="0"/>
        <w:ind w:left="0" w:leftChars="0" w:firstLine="640" w:firstLineChars="200"/>
        <w:rPr>
          <w:rFonts w:hint="eastAsia"/>
          <w:lang w:val="en-US" w:eastAsia="zh-CN"/>
        </w:rPr>
      </w:pPr>
      <w:bookmarkStart w:id="96" w:name="_Toc10708"/>
      <w:bookmarkStart w:id="97" w:name="_Toc25914"/>
      <w:r>
        <w:rPr>
          <w:rFonts w:hint="eastAsia"/>
          <w:lang w:val="en-US" w:eastAsia="zh-CN"/>
        </w:rPr>
        <w:t>7 面临挑战</w:t>
      </w:r>
      <w:bookmarkEnd w:id="96"/>
      <w:bookmarkEnd w:id="97"/>
    </w:p>
    <w:p>
      <w:pPr>
        <w:pStyle w:val="36"/>
        <w:bidi w:val="0"/>
        <w:rPr>
          <w:rFonts w:hint="eastAsia"/>
          <w:lang w:val="en-US" w:eastAsia="zh-CN"/>
        </w:rPr>
      </w:pPr>
      <w:bookmarkStart w:id="98" w:name="_Toc11370"/>
      <w:r>
        <w:rPr>
          <w:rFonts w:hint="eastAsia"/>
          <w:lang w:val="en-US" w:eastAsia="zh-CN"/>
        </w:rPr>
        <w:t>7.1 个别政策落地难</w:t>
      </w:r>
      <w:bookmarkEnd w:id="98"/>
    </w:p>
    <w:p>
      <w:pPr>
        <w:pStyle w:val="16"/>
        <w:rPr>
          <w:rFonts w:hint="default"/>
          <w:lang w:val="en-US" w:eastAsia="zh-CN"/>
        </w:rPr>
      </w:pPr>
      <w:r>
        <w:rPr>
          <w:rFonts w:hint="default"/>
          <w:lang w:val="en-US" w:eastAsia="zh-CN"/>
        </w:rPr>
        <w:t>例如</w:t>
      </w:r>
      <w:r>
        <w:rPr>
          <w:rFonts w:hint="eastAsia"/>
          <w:lang w:val="en-US" w:eastAsia="zh-CN"/>
        </w:rPr>
        <w:t>相关政策</w:t>
      </w:r>
      <w:r>
        <w:rPr>
          <w:rFonts w:hint="default"/>
          <w:lang w:val="en-US" w:eastAsia="zh-CN"/>
        </w:rPr>
        <w:t>明确要求的“建立健全九江市接收学生实习实训成本补偿机制。”“尽快出台校企合作负面清单。”“提高中等职业学校教师地位，执行职业学校教师享受义务教育阶段教师同等待遇的政策。”“各县（市、区）设立每年不少于200万元县级职业教育发展专项资金”等工作任务本应最迟于2022年完成，但由于种种原因，均未或仅部分完成。</w:t>
      </w:r>
    </w:p>
    <w:p>
      <w:pPr>
        <w:pStyle w:val="36"/>
        <w:bidi w:val="0"/>
        <w:rPr>
          <w:rFonts w:hint="eastAsia"/>
          <w:lang w:val="en-US" w:eastAsia="zh-CN"/>
        </w:rPr>
      </w:pPr>
      <w:bookmarkStart w:id="99" w:name="_Toc24546"/>
      <w:r>
        <w:rPr>
          <w:rFonts w:hint="eastAsia"/>
          <w:lang w:val="en-US" w:eastAsia="zh-CN"/>
        </w:rPr>
        <w:t>7.2 教师队伍缺编缺员</w:t>
      </w:r>
      <w:bookmarkEnd w:id="99"/>
    </w:p>
    <w:p>
      <w:pPr>
        <w:pStyle w:val="16"/>
        <w:rPr>
          <w:rFonts w:hint="default"/>
          <w:lang w:val="en-US" w:eastAsia="zh-CN"/>
        </w:rPr>
      </w:pPr>
      <w:r>
        <w:rPr>
          <w:rFonts w:hint="eastAsia"/>
          <w:lang w:val="en-US" w:eastAsia="zh-CN"/>
        </w:rPr>
        <w:t>一方面，</w:t>
      </w:r>
      <w:r>
        <w:rPr>
          <w:rFonts w:hint="default"/>
          <w:lang w:val="en-US" w:eastAsia="zh-CN"/>
        </w:rPr>
        <w:t>由于近年我市职业教育发展迅速，</w:t>
      </w:r>
      <w:r>
        <w:rPr>
          <w:rFonts w:hint="eastAsia"/>
          <w:lang w:val="en-US" w:eastAsia="zh-CN"/>
        </w:rPr>
        <w:t>按照</w:t>
      </w:r>
      <w:r>
        <w:rPr>
          <w:rFonts w:hint="default"/>
          <w:lang w:val="en-US" w:eastAsia="zh-CN"/>
        </w:rPr>
        <w:t>教育部印发的《中等职业学校设置标准》（教职成〔2010〕12号）以及教育部</w:t>
      </w:r>
      <w:r>
        <w:rPr>
          <w:rFonts w:hint="eastAsia"/>
          <w:lang w:val="en-US" w:eastAsia="zh-CN"/>
        </w:rPr>
        <w:t>等5部委</w:t>
      </w:r>
      <w:r>
        <w:rPr>
          <w:rFonts w:hint="default"/>
          <w:lang w:val="en-US" w:eastAsia="zh-CN"/>
        </w:rPr>
        <w:t>印发</w:t>
      </w:r>
      <w:r>
        <w:rPr>
          <w:rFonts w:hint="eastAsia"/>
          <w:lang w:val="en-US" w:eastAsia="zh-CN"/>
        </w:rPr>
        <w:t>的</w:t>
      </w:r>
      <w:r>
        <w:rPr>
          <w:rFonts w:hint="default"/>
          <w:lang w:val="en-US" w:eastAsia="zh-CN"/>
        </w:rPr>
        <w:t>《职业学校办学条件达标工程实施方案》（教职成〔2022〕5号）等文件</w:t>
      </w:r>
      <w:r>
        <w:rPr>
          <w:rFonts w:hint="eastAsia"/>
          <w:lang w:val="en-US" w:eastAsia="zh-CN"/>
        </w:rPr>
        <w:t>要求，</w:t>
      </w:r>
      <w:r>
        <w:rPr>
          <w:rFonts w:hint="default"/>
          <w:lang w:val="en-US" w:eastAsia="zh-CN"/>
        </w:rPr>
        <w:t>按照国家1:20师生比的要求</w:t>
      </w:r>
      <w:r>
        <w:rPr>
          <w:rFonts w:hint="eastAsia"/>
          <w:lang w:val="en-US" w:eastAsia="zh-CN"/>
        </w:rPr>
        <w:t>较难完成。另一方面，由于产业升级，专业教师素质提升、淘汰专业教师的转型、新兴专业教师引入等工作都面临较大困难。</w:t>
      </w:r>
    </w:p>
    <w:p>
      <w:pPr>
        <w:pStyle w:val="36"/>
        <w:bidi w:val="0"/>
        <w:rPr>
          <w:rFonts w:hint="eastAsia"/>
          <w:lang w:val="en-US" w:eastAsia="zh-CN"/>
        </w:rPr>
      </w:pPr>
      <w:bookmarkStart w:id="100" w:name="_Toc11023"/>
      <w:r>
        <w:rPr>
          <w:rFonts w:hint="eastAsia"/>
          <w:lang w:val="en-US" w:eastAsia="zh-CN"/>
        </w:rPr>
        <w:t>7.3 产教融合亟待加强</w:t>
      </w:r>
      <w:bookmarkEnd w:id="100"/>
    </w:p>
    <w:p>
      <w:pPr>
        <w:pStyle w:val="16"/>
        <w:rPr>
          <w:rFonts w:hint="default"/>
          <w:lang w:val="en-US" w:eastAsia="zh-CN"/>
        </w:rPr>
      </w:pPr>
      <w:r>
        <w:rPr>
          <w:rFonts w:hint="default"/>
          <w:lang w:val="en-US" w:eastAsia="zh-CN"/>
        </w:rPr>
        <w:t>产教融合作为衡量职业教育改革成效的重要标志，是实现教育链、产业链、供应链、人才链与价值链有机衔接的重要举措。但从实践层面来看，我市职业院校的产教融合工作呈现“合而不深”“校热企冷”等问题。主要表现有：校企合作中存在合作企业规模不大，学校专业力量建设不足等问题，导致合作对双方产生的贡献较低，创造的价值不足；部分校企合作停留在协议层面或劳务用工的表层，企业未能深入参与到职业院校的人才培养过程中；职业院校缺乏与本地企业信息沟通的平台，存在着人才培养与市场需求之间的脱节等问题。</w:t>
      </w:r>
    </w:p>
    <w:p>
      <w:pPr>
        <w:rPr>
          <w:rFonts w:hint="default"/>
          <w:lang w:val="en-US" w:eastAsia="zh-CN"/>
        </w:rPr>
      </w:pPr>
      <w:r>
        <w:rPr>
          <w:rFonts w:hint="default"/>
          <w:lang w:val="en-US" w:eastAsia="zh-CN"/>
        </w:rPr>
        <w:br w:type="page"/>
      </w:r>
    </w:p>
    <w:p>
      <w:pPr>
        <w:pStyle w:val="19"/>
        <w:bidi w:val="0"/>
        <w:ind w:firstLine="420" w:firstLineChars="0"/>
        <w:rPr>
          <w:rFonts w:hint="eastAsia"/>
          <w:lang w:val="en-US" w:eastAsia="zh-CN"/>
        </w:rPr>
      </w:pPr>
      <w:bookmarkStart w:id="101" w:name="_Toc22058"/>
      <w:r>
        <w:rPr>
          <w:rFonts w:hint="eastAsia"/>
          <w:lang w:val="en-US" w:eastAsia="zh-CN"/>
        </w:rPr>
        <w:t>附表1：人才培养质量计分卡</w:t>
      </w:r>
      <w:bookmarkEnd w:id="101"/>
    </w:p>
    <w:p>
      <w:pPr>
        <w:pStyle w:val="16"/>
        <w:ind w:left="0" w:leftChars="0" w:firstLine="0" w:firstLineChars="0"/>
        <w:rPr>
          <w:rFonts w:hint="default"/>
          <w:lang w:val="en-US" w:eastAsia="zh-CN"/>
        </w:rPr>
      </w:pPr>
      <w:r>
        <w:rPr>
          <w:rFonts w:hint="default"/>
          <w:lang w:val="en-US" w:eastAsia="zh-CN"/>
        </w:rPr>
        <w:drawing>
          <wp:inline distT="0" distB="0" distL="114300" distR="114300">
            <wp:extent cx="5039995" cy="3455670"/>
            <wp:effectExtent l="0" t="0" r="8255" b="11430"/>
            <wp:docPr id="12" name="图片 12" descr="人才培养质量计分卡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人才培养质量计分卡_new"/>
                    <pic:cNvPicPr>
                      <a:picLocks noChangeAspect="1"/>
                    </pic:cNvPicPr>
                  </pic:nvPicPr>
                  <pic:blipFill>
                    <a:blip r:embed="rId24"/>
                    <a:stretch>
                      <a:fillRect/>
                    </a:stretch>
                  </pic:blipFill>
                  <pic:spPr>
                    <a:xfrm>
                      <a:off x="0" y="0"/>
                      <a:ext cx="5039995" cy="3455670"/>
                    </a:xfrm>
                    <a:prstGeom prst="rect">
                      <a:avLst/>
                    </a:prstGeom>
                  </pic:spPr>
                </pic:pic>
              </a:graphicData>
            </a:graphic>
          </wp:inline>
        </w:drawing>
      </w:r>
    </w:p>
    <w:p>
      <w:pPr>
        <w:rPr>
          <w:rFonts w:hint="default"/>
          <w:lang w:val="en-US" w:eastAsia="zh-CN"/>
        </w:rPr>
      </w:pPr>
      <w:r>
        <w:rPr>
          <w:rFonts w:hint="default"/>
          <w:lang w:val="en-US" w:eastAsia="zh-CN"/>
        </w:rPr>
        <w:br w:type="page"/>
      </w:r>
    </w:p>
    <w:p>
      <w:pPr>
        <w:pStyle w:val="16"/>
        <w:ind w:left="0" w:leftChars="0" w:firstLine="0" w:firstLineChars="0"/>
        <w:rPr>
          <w:rFonts w:hint="default"/>
          <w:lang w:val="en-US" w:eastAsia="zh-CN"/>
        </w:rPr>
      </w:pPr>
    </w:p>
    <w:p>
      <w:pPr>
        <w:pStyle w:val="19"/>
        <w:bidi w:val="0"/>
        <w:ind w:firstLine="0" w:firstLineChars="0"/>
        <w:rPr>
          <w:rFonts w:hint="default"/>
          <w:lang w:val="en-US" w:eastAsia="zh-CN"/>
        </w:rPr>
      </w:pPr>
      <w:bookmarkStart w:id="102" w:name="_Toc16557"/>
      <w:r>
        <w:rPr>
          <w:rFonts w:hint="default"/>
          <w:lang w:val="en-US" w:eastAsia="zh-CN"/>
        </w:rPr>
        <w:t>附表</w:t>
      </w:r>
      <w:r>
        <w:rPr>
          <w:rFonts w:hint="eastAsia"/>
          <w:lang w:val="en-US" w:eastAsia="zh-CN"/>
        </w:rPr>
        <w:t>2</w:t>
      </w:r>
      <w:r>
        <w:rPr>
          <w:rFonts w:hint="default"/>
          <w:lang w:val="en-US" w:eastAsia="zh-CN"/>
        </w:rPr>
        <w:t>：满意度调查表</w:t>
      </w:r>
      <w:bookmarkEnd w:id="102"/>
    </w:p>
    <w:p>
      <w:pPr>
        <w:pStyle w:val="16"/>
        <w:ind w:left="0" w:leftChars="0" w:firstLine="0" w:firstLineChars="0"/>
        <w:jc w:val="center"/>
        <w:rPr>
          <w:rFonts w:hint="default"/>
          <w:lang w:val="en-US" w:eastAsia="zh-CN"/>
        </w:rPr>
      </w:pPr>
      <w:r>
        <w:rPr>
          <w:rFonts w:hint="default"/>
          <w:lang w:val="en-US" w:eastAsia="zh-CN"/>
        </w:rPr>
        <w:drawing>
          <wp:inline distT="0" distB="0" distL="114300" distR="114300">
            <wp:extent cx="5039995" cy="3338830"/>
            <wp:effectExtent l="0" t="0" r="8255" b="13970"/>
            <wp:docPr id="21" name="图片 21" descr="满意度调查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满意度调查表_new"/>
                    <pic:cNvPicPr>
                      <a:picLocks noChangeAspect="1"/>
                    </pic:cNvPicPr>
                  </pic:nvPicPr>
                  <pic:blipFill>
                    <a:blip r:embed="rId25"/>
                    <a:stretch>
                      <a:fillRect/>
                    </a:stretch>
                  </pic:blipFill>
                  <pic:spPr>
                    <a:xfrm>
                      <a:off x="0" y="0"/>
                      <a:ext cx="5039995" cy="3338830"/>
                    </a:xfrm>
                    <a:prstGeom prst="rect">
                      <a:avLst/>
                    </a:prstGeom>
                  </pic:spPr>
                </pic:pic>
              </a:graphicData>
            </a:graphic>
          </wp:inline>
        </w:drawing>
      </w:r>
    </w:p>
    <w:p>
      <w:pPr>
        <w:pStyle w:val="19"/>
        <w:bidi w:val="0"/>
        <w:ind w:firstLine="0" w:firstLineChars="0"/>
        <w:rPr>
          <w:rFonts w:hint="default"/>
          <w:lang w:val="en-US" w:eastAsia="zh-CN"/>
        </w:rPr>
      </w:pPr>
      <w:bookmarkStart w:id="103" w:name="_Toc11163"/>
      <w:r>
        <w:rPr>
          <w:rFonts w:hint="default"/>
          <w:lang w:val="en-US" w:eastAsia="zh-CN"/>
        </w:rPr>
        <w:t>附表</w:t>
      </w:r>
      <w:r>
        <w:rPr>
          <w:rFonts w:hint="eastAsia"/>
          <w:lang w:val="en-US" w:eastAsia="zh-CN"/>
        </w:rPr>
        <w:t>3</w:t>
      </w:r>
      <w:r>
        <w:rPr>
          <w:rFonts w:hint="default"/>
          <w:lang w:val="en-US" w:eastAsia="zh-CN"/>
        </w:rPr>
        <w:t>：教学资源表</w:t>
      </w:r>
      <w:bookmarkEnd w:id="103"/>
    </w:p>
    <w:p>
      <w:pPr>
        <w:pStyle w:val="16"/>
        <w:ind w:left="0" w:leftChars="0" w:firstLine="0" w:firstLineChars="0"/>
        <w:jc w:val="center"/>
        <w:rPr>
          <w:rFonts w:hint="default"/>
          <w:lang w:val="en-US" w:eastAsia="zh-CN"/>
        </w:rPr>
      </w:pPr>
      <w:bookmarkStart w:id="107" w:name="_GoBack"/>
      <w:r>
        <w:rPr>
          <w:rFonts w:hint="default"/>
          <w:lang w:val="en-US" w:eastAsia="zh-CN"/>
        </w:rPr>
        <w:drawing>
          <wp:inline distT="0" distB="0" distL="114300" distR="114300">
            <wp:extent cx="3780155" cy="8208645"/>
            <wp:effectExtent l="0" t="0" r="10795" b="1905"/>
            <wp:docPr id="6" name="图片 6" descr="教学资源表_ne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教学资源表_new (1)"/>
                    <pic:cNvPicPr>
                      <a:picLocks noChangeAspect="1"/>
                    </pic:cNvPicPr>
                  </pic:nvPicPr>
                  <pic:blipFill>
                    <a:blip r:embed="rId26"/>
                    <a:stretch>
                      <a:fillRect/>
                    </a:stretch>
                  </pic:blipFill>
                  <pic:spPr>
                    <a:xfrm>
                      <a:off x="0" y="0"/>
                      <a:ext cx="3780155" cy="8208645"/>
                    </a:xfrm>
                    <a:prstGeom prst="rect">
                      <a:avLst/>
                    </a:prstGeom>
                  </pic:spPr>
                </pic:pic>
              </a:graphicData>
            </a:graphic>
          </wp:inline>
        </w:drawing>
      </w:r>
      <w:bookmarkEnd w:id="107"/>
    </w:p>
    <w:p>
      <w:pPr>
        <w:pStyle w:val="19"/>
        <w:bidi w:val="0"/>
        <w:ind w:firstLine="0" w:firstLineChars="0"/>
        <w:rPr>
          <w:rFonts w:hint="default"/>
          <w:lang w:val="en-US" w:eastAsia="zh-CN"/>
        </w:rPr>
      </w:pPr>
      <w:bookmarkStart w:id="104" w:name="_Toc29982"/>
      <w:r>
        <w:rPr>
          <w:rFonts w:hint="default"/>
          <w:lang w:val="en-US" w:eastAsia="zh-CN"/>
        </w:rPr>
        <w:t>附表</w:t>
      </w:r>
      <w:r>
        <w:rPr>
          <w:rFonts w:hint="eastAsia"/>
          <w:lang w:val="en-US" w:eastAsia="zh-CN"/>
        </w:rPr>
        <w:t>4</w:t>
      </w:r>
      <w:r>
        <w:rPr>
          <w:rFonts w:hint="default"/>
          <w:lang w:val="en-US" w:eastAsia="zh-CN"/>
        </w:rPr>
        <w:t>：国际影响表</w:t>
      </w:r>
      <w:bookmarkEnd w:id="104"/>
    </w:p>
    <w:p>
      <w:pPr>
        <w:pStyle w:val="16"/>
        <w:ind w:left="0" w:leftChars="0" w:firstLine="0" w:firstLineChars="0"/>
        <w:rPr>
          <w:rFonts w:hint="default"/>
          <w:lang w:val="en-US" w:eastAsia="zh-CN"/>
        </w:rPr>
      </w:pPr>
      <w:r>
        <w:rPr>
          <w:rFonts w:hint="default"/>
          <w:lang w:val="en-US" w:eastAsia="zh-CN"/>
        </w:rPr>
        <w:drawing>
          <wp:inline distT="0" distB="0" distL="114300" distR="114300">
            <wp:extent cx="5039995" cy="5400040"/>
            <wp:effectExtent l="0" t="0" r="8255" b="10160"/>
            <wp:docPr id="15" name="图片 15" descr="国际影响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国际影响表_new"/>
                    <pic:cNvPicPr>
                      <a:picLocks noChangeAspect="1"/>
                    </pic:cNvPicPr>
                  </pic:nvPicPr>
                  <pic:blipFill>
                    <a:blip r:embed="rId27"/>
                    <a:stretch>
                      <a:fillRect/>
                    </a:stretch>
                  </pic:blipFill>
                  <pic:spPr>
                    <a:xfrm>
                      <a:off x="0" y="0"/>
                      <a:ext cx="5039995" cy="5400040"/>
                    </a:xfrm>
                    <a:prstGeom prst="rect">
                      <a:avLst/>
                    </a:prstGeom>
                  </pic:spPr>
                </pic:pic>
              </a:graphicData>
            </a:graphic>
          </wp:inline>
        </w:drawing>
      </w:r>
    </w:p>
    <w:p>
      <w:pPr>
        <w:pStyle w:val="19"/>
        <w:bidi w:val="0"/>
        <w:ind w:firstLine="0" w:firstLineChars="0"/>
        <w:rPr>
          <w:rFonts w:hint="default"/>
          <w:lang w:val="en-US" w:eastAsia="zh-CN"/>
        </w:rPr>
      </w:pPr>
      <w:bookmarkStart w:id="105" w:name="_Toc7330"/>
      <w:r>
        <w:rPr>
          <w:rFonts w:hint="default"/>
          <w:lang w:val="en-US" w:eastAsia="zh-CN"/>
        </w:rPr>
        <w:t>附表</w:t>
      </w:r>
      <w:r>
        <w:rPr>
          <w:rFonts w:hint="eastAsia"/>
          <w:lang w:val="en-US" w:eastAsia="zh-CN"/>
        </w:rPr>
        <w:t>5</w:t>
      </w:r>
      <w:r>
        <w:rPr>
          <w:rFonts w:hint="default"/>
          <w:lang w:val="en-US" w:eastAsia="zh-CN"/>
        </w:rPr>
        <w:t>：服务贡献表</w:t>
      </w:r>
      <w:bookmarkEnd w:id="105"/>
    </w:p>
    <w:p>
      <w:pPr>
        <w:pStyle w:val="16"/>
        <w:ind w:left="0" w:leftChars="0" w:firstLine="0" w:firstLineChars="0"/>
        <w:rPr>
          <w:rFonts w:hint="default"/>
          <w:lang w:val="en-US" w:eastAsia="zh-CN"/>
        </w:rPr>
      </w:pPr>
      <w:r>
        <w:rPr>
          <w:rFonts w:hint="default"/>
          <w:lang w:val="en-US" w:eastAsia="zh-CN"/>
        </w:rPr>
        <w:drawing>
          <wp:inline distT="0" distB="0" distL="114300" distR="114300">
            <wp:extent cx="5039995" cy="5039995"/>
            <wp:effectExtent l="0" t="0" r="8255" b="8255"/>
            <wp:docPr id="17" name="图片 17" descr="服务贡献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服务贡献表_new"/>
                    <pic:cNvPicPr>
                      <a:picLocks noChangeAspect="1"/>
                    </pic:cNvPicPr>
                  </pic:nvPicPr>
                  <pic:blipFill>
                    <a:blip r:embed="rId28"/>
                    <a:stretch>
                      <a:fillRect/>
                    </a:stretch>
                  </pic:blipFill>
                  <pic:spPr>
                    <a:xfrm>
                      <a:off x="0" y="0"/>
                      <a:ext cx="5039995" cy="5039995"/>
                    </a:xfrm>
                    <a:prstGeom prst="rect">
                      <a:avLst/>
                    </a:prstGeom>
                  </pic:spPr>
                </pic:pic>
              </a:graphicData>
            </a:graphic>
          </wp:inline>
        </w:drawing>
      </w:r>
    </w:p>
    <w:p>
      <w:pPr>
        <w:pStyle w:val="19"/>
        <w:bidi w:val="0"/>
        <w:ind w:firstLine="0" w:firstLineChars="0"/>
        <w:rPr>
          <w:rFonts w:hint="default"/>
          <w:lang w:val="en-US" w:eastAsia="zh-CN"/>
        </w:rPr>
      </w:pPr>
      <w:bookmarkStart w:id="106" w:name="_Toc28961"/>
      <w:r>
        <w:rPr>
          <w:rFonts w:hint="default"/>
          <w:lang w:val="en-US" w:eastAsia="zh-CN"/>
        </w:rPr>
        <w:t>附表</w:t>
      </w:r>
      <w:r>
        <w:rPr>
          <w:rFonts w:hint="eastAsia"/>
          <w:lang w:val="en-US" w:eastAsia="zh-CN"/>
        </w:rPr>
        <w:t>6</w:t>
      </w:r>
      <w:r>
        <w:rPr>
          <w:rFonts w:hint="default"/>
          <w:lang w:val="en-US" w:eastAsia="zh-CN"/>
        </w:rPr>
        <w:t>：落实政策表</w:t>
      </w:r>
      <w:bookmarkEnd w:id="106"/>
    </w:p>
    <w:p>
      <w:pPr>
        <w:pStyle w:val="16"/>
        <w:ind w:left="0" w:leftChars="0" w:firstLine="0" w:firstLineChars="0"/>
        <w:rPr>
          <w:rFonts w:hint="default"/>
          <w:lang w:val="en-US" w:eastAsia="zh-CN"/>
        </w:rPr>
      </w:pPr>
      <w:r>
        <w:rPr>
          <w:rFonts w:hint="default"/>
          <w:lang w:val="en-US" w:eastAsia="zh-CN"/>
        </w:rPr>
        <w:drawing>
          <wp:inline distT="0" distB="0" distL="114300" distR="114300">
            <wp:extent cx="5039995" cy="5759450"/>
            <wp:effectExtent l="0" t="0" r="8255" b="12700"/>
            <wp:docPr id="18" name="图片 18" descr="落实政策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落实政策表_new"/>
                    <pic:cNvPicPr>
                      <a:picLocks noChangeAspect="1"/>
                    </pic:cNvPicPr>
                  </pic:nvPicPr>
                  <pic:blipFill>
                    <a:blip r:embed="rId29"/>
                    <a:stretch>
                      <a:fillRect/>
                    </a:stretch>
                  </pic:blipFill>
                  <pic:spPr>
                    <a:xfrm>
                      <a:off x="0" y="0"/>
                      <a:ext cx="5039995" cy="5759450"/>
                    </a:xfrm>
                    <a:prstGeom prst="rect">
                      <a:avLst/>
                    </a:prstGeom>
                  </pic:spPr>
                </pic:pic>
              </a:graphicData>
            </a:graphic>
          </wp:inline>
        </w:drawing>
      </w:r>
    </w:p>
    <w:p>
      <w:pPr>
        <w:pStyle w:val="16"/>
        <w:ind w:left="0" w:leftChars="0" w:firstLine="0" w:firstLineChars="0"/>
        <w:rPr>
          <w:rFonts w:hint="default"/>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16"/>
        <w:ind w:left="0" w:leftChars="0" w:firstLine="0" w:firstLineChars="0"/>
        <w:rPr>
          <w:rFonts w:hint="default"/>
          <w:lang w:val="en-US" w:eastAsia="zh-CN"/>
        </w:rPr>
      </w:pP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4"/>
                              <w:szCs w:val="28"/>
                            </w:rPr>
                          </w:pPr>
                          <w:r>
                            <w:rPr>
                              <w:sz w:val="24"/>
                              <w:szCs w:val="28"/>
                            </w:rPr>
                            <w:t xml:space="preserve">— </w:t>
                          </w:r>
                          <w:r>
                            <w:rPr>
                              <w:rFonts w:hint="eastAsia"/>
                              <w:sz w:val="24"/>
                              <w:szCs w:val="28"/>
                              <w:lang w:val="en-US" w:eastAsia="zh-CN"/>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- 1 -</w:t>
                          </w:r>
                          <w:r>
                            <w:rPr>
                              <w:sz w:val="24"/>
                              <w:szCs w:val="28"/>
                            </w:rPr>
                            <w:fldChar w:fldCharType="end"/>
                          </w:r>
                          <w:r>
                            <w:rPr>
                              <w:sz w:val="24"/>
                              <w:szCs w:val="28"/>
                            </w:rPr>
                            <w:t xml:space="preserve"> </w:t>
                          </w:r>
                          <w:r>
                            <w:rPr>
                              <w:rFonts w:hint="eastAsia"/>
                              <w:sz w:val="24"/>
                              <w:szCs w:val="28"/>
                              <w:lang w:val="en-US" w:eastAsia="zh-CN"/>
                            </w:rPr>
                            <w:t xml:space="preserve"> </w:t>
                          </w:r>
                          <w:r>
                            <w:rPr>
                              <w:sz w:val="24"/>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sz w:val="24"/>
                        <w:szCs w:val="28"/>
                      </w:rPr>
                    </w:pPr>
                    <w:r>
                      <w:rPr>
                        <w:sz w:val="24"/>
                        <w:szCs w:val="28"/>
                      </w:rPr>
                      <w:t xml:space="preserve">— </w:t>
                    </w:r>
                    <w:r>
                      <w:rPr>
                        <w:rFonts w:hint="eastAsia"/>
                        <w:sz w:val="24"/>
                        <w:szCs w:val="28"/>
                        <w:lang w:val="en-US" w:eastAsia="zh-CN"/>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- 1 -</w:t>
                    </w:r>
                    <w:r>
                      <w:rPr>
                        <w:sz w:val="24"/>
                        <w:szCs w:val="28"/>
                      </w:rPr>
                      <w:fldChar w:fldCharType="end"/>
                    </w:r>
                    <w:r>
                      <w:rPr>
                        <w:sz w:val="24"/>
                        <w:szCs w:val="28"/>
                      </w:rPr>
                      <w:t xml:space="preserve"> </w:t>
                    </w:r>
                    <w:r>
                      <w:rPr>
                        <w:rFonts w:hint="eastAsia"/>
                        <w:sz w:val="24"/>
                        <w:szCs w:val="28"/>
                        <w:lang w:val="en-US" w:eastAsia="zh-CN"/>
                      </w:rPr>
                      <w:t xml:space="preserve"> </w:t>
                    </w:r>
                    <w:r>
                      <w:rPr>
                        <w:sz w:val="24"/>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71726"/>
    <w:multiLevelType w:val="singleLevel"/>
    <w:tmpl w:val="9C371726"/>
    <w:lvl w:ilvl="0" w:tentative="0">
      <w:start w:val="1"/>
      <w:numFmt w:val="decimal"/>
      <w:pStyle w:val="29"/>
      <w:suff w:val="nothing"/>
      <w:lvlText w:val="%1."/>
      <w:lvlJc w:val="left"/>
      <w:pPr>
        <w:tabs>
          <w:tab w:val="left" w:pos="0"/>
        </w:tabs>
        <w:ind w:left="0" w:firstLine="397"/>
      </w:pPr>
      <w:rPr>
        <w:rFonts w:hint="default" w:ascii="仿宋_GB2312" w:hAnsi="仿宋_GB2312" w:eastAsia="仿宋_GB2312"/>
        <w:b/>
        <w:sz w:val="32"/>
      </w:rPr>
    </w:lvl>
  </w:abstractNum>
  <w:abstractNum w:abstractNumId="1">
    <w:nsid w:val="44551CB8"/>
    <w:multiLevelType w:val="singleLevel"/>
    <w:tmpl w:val="44551CB8"/>
    <w:lvl w:ilvl="0" w:tentative="0">
      <w:start w:val="1"/>
      <w:numFmt w:val="chineseCounting"/>
      <w:pStyle w:val="18"/>
      <w:suff w:val="nothing"/>
      <w:lvlText w:val="（%1）"/>
      <w:lvlJc w:val="left"/>
      <w:pPr>
        <w:tabs>
          <w:tab w:val="left" w:pos="5103"/>
        </w:tabs>
        <w:ind w:left="5103" w:firstLine="0"/>
      </w:pPr>
      <w:rPr>
        <w:rFonts w:hint="eastAsia" w:eastAsia="楷体"/>
        <w:b/>
        <w:sz w:val="32"/>
      </w:rPr>
    </w:lvl>
  </w:abstractNum>
  <w:abstractNum w:abstractNumId="2">
    <w:nsid w:val="5D587385"/>
    <w:multiLevelType w:val="singleLevel"/>
    <w:tmpl w:val="5D587385"/>
    <w:lvl w:ilvl="0" w:tentative="0">
      <w:start w:val="1"/>
      <w:numFmt w:val="chineseCounting"/>
      <w:pStyle w:val="15"/>
      <w:suff w:val="nothing"/>
      <w:lvlText w:val="%1、"/>
      <w:lvlJc w:val="left"/>
      <w:pPr>
        <w:tabs>
          <w:tab w:val="left" w:pos="0"/>
        </w:tabs>
        <w:ind w:left="0" w:firstLine="0"/>
      </w:pPr>
      <w:rPr>
        <w:rFonts w:hint="eastAsia" w:eastAsia="黑体"/>
        <w:b w:val="0"/>
        <w:sz w:val="3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xNmM2MGI0ZDVmOWQwYzY1YzE3ZDA0NzhmM2IxYWMifQ=="/>
  </w:docVars>
  <w:rsids>
    <w:rsidRoot w:val="00172A27"/>
    <w:rsid w:val="068766B9"/>
    <w:rsid w:val="07DB5D03"/>
    <w:rsid w:val="09D050EF"/>
    <w:rsid w:val="0A094CF7"/>
    <w:rsid w:val="0D403094"/>
    <w:rsid w:val="0E522BC9"/>
    <w:rsid w:val="101B49F2"/>
    <w:rsid w:val="10B400D6"/>
    <w:rsid w:val="13441F7C"/>
    <w:rsid w:val="136E4C9D"/>
    <w:rsid w:val="13BA052A"/>
    <w:rsid w:val="1410303C"/>
    <w:rsid w:val="1486186A"/>
    <w:rsid w:val="16011CAF"/>
    <w:rsid w:val="187B2616"/>
    <w:rsid w:val="1A7F48BE"/>
    <w:rsid w:val="1D59324A"/>
    <w:rsid w:val="1DCF2045"/>
    <w:rsid w:val="228964B1"/>
    <w:rsid w:val="24885FA4"/>
    <w:rsid w:val="26885EAC"/>
    <w:rsid w:val="29553630"/>
    <w:rsid w:val="2CD114D6"/>
    <w:rsid w:val="30D20112"/>
    <w:rsid w:val="30EA6D08"/>
    <w:rsid w:val="319A780B"/>
    <w:rsid w:val="31E87583"/>
    <w:rsid w:val="32584006"/>
    <w:rsid w:val="34BF6C65"/>
    <w:rsid w:val="34EE524E"/>
    <w:rsid w:val="35A91FA7"/>
    <w:rsid w:val="38E02A41"/>
    <w:rsid w:val="39C77DB1"/>
    <w:rsid w:val="3A3A2CE3"/>
    <w:rsid w:val="3D485717"/>
    <w:rsid w:val="3D9E4224"/>
    <w:rsid w:val="3EB07A18"/>
    <w:rsid w:val="3F516B05"/>
    <w:rsid w:val="414708C4"/>
    <w:rsid w:val="424652FC"/>
    <w:rsid w:val="42CB5ED4"/>
    <w:rsid w:val="442E0E42"/>
    <w:rsid w:val="44492562"/>
    <w:rsid w:val="451F1453"/>
    <w:rsid w:val="45B37E61"/>
    <w:rsid w:val="48E521D3"/>
    <w:rsid w:val="4B7C02F9"/>
    <w:rsid w:val="4B9605F6"/>
    <w:rsid w:val="4C72630D"/>
    <w:rsid w:val="4CA47A94"/>
    <w:rsid w:val="4CDB0767"/>
    <w:rsid w:val="4E09400D"/>
    <w:rsid w:val="4E1D3741"/>
    <w:rsid w:val="4F495424"/>
    <w:rsid w:val="4F833B28"/>
    <w:rsid w:val="51066EF0"/>
    <w:rsid w:val="513D182A"/>
    <w:rsid w:val="514E519C"/>
    <w:rsid w:val="52EB59A5"/>
    <w:rsid w:val="571322DE"/>
    <w:rsid w:val="59001BE7"/>
    <w:rsid w:val="59080725"/>
    <w:rsid w:val="593C3F2A"/>
    <w:rsid w:val="5A426AD9"/>
    <w:rsid w:val="5C347E9F"/>
    <w:rsid w:val="60114023"/>
    <w:rsid w:val="606B47E6"/>
    <w:rsid w:val="6095384B"/>
    <w:rsid w:val="60F77DED"/>
    <w:rsid w:val="61F40A0D"/>
    <w:rsid w:val="62847CD3"/>
    <w:rsid w:val="638630FE"/>
    <w:rsid w:val="667C15C5"/>
    <w:rsid w:val="68EE44CD"/>
    <w:rsid w:val="69342E70"/>
    <w:rsid w:val="6A5D7F8D"/>
    <w:rsid w:val="6BCE4EB6"/>
    <w:rsid w:val="6CCB5899"/>
    <w:rsid w:val="6DB01147"/>
    <w:rsid w:val="6DB36974"/>
    <w:rsid w:val="6F5F5FE8"/>
    <w:rsid w:val="71533B12"/>
    <w:rsid w:val="71984A02"/>
    <w:rsid w:val="758912FD"/>
    <w:rsid w:val="75EC0BD5"/>
    <w:rsid w:val="78CA0EDE"/>
    <w:rsid w:val="7AA5772A"/>
    <w:rsid w:val="7B097703"/>
    <w:rsid w:val="7B9C3293"/>
    <w:rsid w:val="7CE553A2"/>
    <w:rsid w:val="7D2D7801"/>
    <w:rsid w:val="7E8C6AAB"/>
    <w:rsid w:val="7F9C0E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00" w:lineRule="auto"/>
      <w:ind w:firstLine="0" w:firstLineChars="0"/>
      <w:jc w:val="both"/>
    </w:pPr>
    <w:rPr>
      <w:rFonts w:ascii="Times New Roman" w:hAnsi="Times New Roman" w:eastAsia="宋体" w:cs="Times New Roman"/>
      <w:kern w:val="2"/>
      <w:sz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ind w:firstLine="0" w:firstLineChars="0"/>
      <w:jc w:val="center"/>
      <w:outlineLvl w:val="0"/>
    </w:pPr>
    <w:rPr>
      <w:rFonts w:cstheme="minorBidi"/>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autoRedefine/>
    <w:unhideWhenUsed/>
    <w:qFormat/>
    <w:uiPriority w:val="1"/>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6">
    <w:name w:val="Body Text"/>
    <w:basedOn w:val="1"/>
    <w:autoRedefine/>
    <w:qFormat/>
    <w:uiPriority w:val="0"/>
    <w:pPr>
      <w:spacing w:after="120" w:afterLines="0" w:afterAutospacing="0"/>
    </w:pPr>
  </w:style>
  <w:style w:type="paragraph" w:styleId="7">
    <w:name w:val="Plain Text"/>
    <w:basedOn w:val="1"/>
    <w:autoRedefine/>
    <w:qFormat/>
    <w:uiPriority w:val="0"/>
    <w:rPr>
      <w:rFonts w:ascii="宋体" w:hAnsi="Courier New"/>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pPr>
      <w:spacing w:line="560" w:lineRule="exact"/>
    </w:pPr>
    <w:rPr>
      <w:rFonts w:ascii="Times New Roman" w:hAnsi="Times New Roman" w:eastAsia="华文楷体"/>
      <w:sz w:val="30"/>
    </w:rPr>
  </w:style>
  <w:style w:type="paragraph" w:styleId="11">
    <w:name w:val="footnote text"/>
    <w:basedOn w:val="1"/>
    <w:link w:val="27"/>
    <w:autoRedefine/>
    <w:qFormat/>
    <w:uiPriority w:val="0"/>
    <w:pPr>
      <w:snapToGrid w:val="0"/>
      <w:spacing w:line="240" w:lineRule="auto"/>
      <w:ind w:firstLine="0" w:firstLineChars="0"/>
      <w:jc w:val="left"/>
    </w:pPr>
    <w:rPr>
      <w:sz w:val="18"/>
    </w:rPr>
  </w:style>
  <w:style w:type="paragraph" w:styleId="12">
    <w:name w:val="toc 2"/>
    <w:basedOn w:val="1"/>
    <w:next w:val="1"/>
    <w:autoRedefine/>
    <w:qFormat/>
    <w:uiPriority w:val="0"/>
    <w:pPr>
      <w:spacing w:line="520" w:lineRule="exact"/>
      <w:ind w:left="420" w:leftChars="200"/>
    </w:pPr>
    <w:rPr>
      <w:rFonts w:ascii="Times New Roman" w:hAnsi="Times New Roman" w:eastAsia="华文楷体"/>
      <w:sz w:val="30"/>
    </w:rPr>
  </w:style>
  <w:style w:type="paragraph" w:customStyle="1" w:styleId="15">
    <w:name w:val="公文一级"/>
    <w:basedOn w:val="2"/>
    <w:next w:val="1"/>
    <w:autoRedefine/>
    <w:qFormat/>
    <w:uiPriority w:val="0"/>
    <w:pPr>
      <w:numPr>
        <w:ilvl w:val="0"/>
        <w:numId w:val="1"/>
      </w:numPr>
      <w:spacing w:before="20" w:after="20" w:line="108" w:lineRule="auto"/>
      <w:ind w:firstLine="880" w:firstLineChars="200"/>
      <w:jc w:val="both"/>
    </w:pPr>
    <w:rPr>
      <w:rFonts w:ascii="Calibri" w:hAnsi="Calibri" w:eastAsia="黑体" w:cs="Times New Roman"/>
      <w:b w:val="0"/>
      <w:sz w:val="32"/>
      <w:szCs w:val="24"/>
    </w:rPr>
  </w:style>
  <w:style w:type="paragraph" w:customStyle="1" w:styleId="16">
    <w:name w:val="公文正文"/>
    <w:basedOn w:val="7"/>
    <w:autoRedefine/>
    <w:qFormat/>
    <w:uiPriority w:val="0"/>
    <w:pPr>
      <w:spacing w:line="108" w:lineRule="auto"/>
      <w:ind w:firstLine="883" w:firstLineChars="200"/>
    </w:pPr>
    <w:rPr>
      <w:rFonts w:hAnsi="宋体" w:eastAsia="仿宋_GB2312"/>
      <w:sz w:val="32"/>
      <w:szCs w:val="24"/>
    </w:rPr>
  </w:style>
  <w:style w:type="paragraph" w:customStyle="1" w:styleId="17">
    <w:name w:val="二级标题"/>
    <w:basedOn w:val="3"/>
    <w:next w:val="6"/>
    <w:link w:val="24"/>
    <w:autoRedefine/>
    <w:qFormat/>
    <w:uiPriority w:val="0"/>
    <w:pPr>
      <w:spacing w:before="100" w:beforeLines="100" w:after="100" w:afterLines="100" w:line="300" w:lineRule="auto"/>
      <w:ind w:firstLine="0" w:firstLineChars="0"/>
    </w:pPr>
    <w:rPr>
      <w:rFonts w:ascii="Times New Roman" w:hAnsi="Times New Roman" w:cs="Times New Roman"/>
      <w:kern w:val="0"/>
      <w:sz w:val="28"/>
    </w:rPr>
  </w:style>
  <w:style w:type="paragraph" w:customStyle="1" w:styleId="18">
    <w:name w:val="公文二级标题"/>
    <w:basedOn w:val="3"/>
    <w:next w:val="16"/>
    <w:link w:val="30"/>
    <w:autoRedefine/>
    <w:qFormat/>
    <w:uiPriority w:val="0"/>
    <w:pPr>
      <w:numPr>
        <w:ilvl w:val="0"/>
        <w:numId w:val="2"/>
      </w:numPr>
      <w:tabs>
        <w:tab w:val="left" w:pos="0"/>
      </w:tabs>
      <w:spacing w:before="20" w:after="20" w:line="240" w:lineRule="auto"/>
      <w:ind w:left="0" w:firstLine="988" w:firstLineChars="200"/>
    </w:pPr>
    <w:rPr>
      <w:rFonts w:ascii="Arial" w:hAnsi="Arial" w:eastAsia="楷体" w:cs="Times New Roman"/>
      <w:sz w:val="36"/>
      <w:szCs w:val="24"/>
    </w:rPr>
  </w:style>
  <w:style w:type="paragraph" w:customStyle="1" w:styleId="19">
    <w:name w:val="年报附表"/>
    <w:basedOn w:val="5"/>
    <w:next w:val="16"/>
    <w:autoRedefine/>
    <w:qFormat/>
    <w:uiPriority w:val="0"/>
    <w:pPr>
      <w:widowControl/>
      <w:topLinePunct/>
      <w:autoSpaceDE w:val="0"/>
      <w:adjustRightInd w:val="0"/>
      <w:snapToGrid w:val="0"/>
      <w:spacing w:before="20" w:after="50" w:afterLines="50" w:line="482" w:lineRule="exact"/>
      <w:jc w:val="left"/>
      <w:textAlignment w:val="baseline"/>
    </w:pPr>
    <w:rPr>
      <w:rFonts w:hint="eastAsia" w:ascii="楷体_GB2312" w:hAnsi="楷体_GB2312" w:eastAsia="楷体" w:cs="楷体_GB2312"/>
      <w:bCs/>
      <w:snapToGrid w:val="0"/>
      <w:color w:val="000000"/>
      <w:kern w:val="0"/>
      <w:position w:val="-5"/>
      <w:szCs w:val="28"/>
    </w:rPr>
  </w:style>
  <w:style w:type="paragraph" w:customStyle="1" w:styleId="20">
    <w:name w:val="三级标题"/>
    <w:basedOn w:val="4"/>
    <w:link w:val="21"/>
    <w:autoRedefine/>
    <w:qFormat/>
    <w:uiPriority w:val="0"/>
    <w:pPr>
      <w:spacing w:line="300" w:lineRule="auto"/>
      <w:ind w:firstLine="480"/>
    </w:pPr>
    <w:rPr>
      <w:rFonts w:ascii="Times New Roman" w:hAnsi="Times New Roman" w:eastAsia="黑体" w:cs="Times New Roman"/>
      <w:kern w:val="0"/>
      <w:sz w:val="24"/>
    </w:rPr>
  </w:style>
  <w:style w:type="character" w:customStyle="1" w:styleId="21">
    <w:name w:val="三级标题 Char"/>
    <w:link w:val="20"/>
    <w:autoRedefine/>
    <w:qFormat/>
    <w:uiPriority w:val="0"/>
    <w:rPr>
      <w:rFonts w:ascii="Times New Roman" w:hAnsi="Times New Roman" w:eastAsia="黑体" w:cs="Times New Roman"/>
      <w:b/>
      <w:sz w:val="24"/>
    </w:rPr>
  </w:style>
  <w:style w:type="paragraph" w:customStyle="1" w:styleId="22">
    <w:name w:val="一级标题"/>
    <w:basedOn w:val="2"/>
    <w:link w:val="23"/>
    <w:autoRedefine/>
    <w:qFormat/>
    <w:uiPriority w:val="0"/>
    <w:pPr>
      <w:spacing w:before="100" w:beforeLines="100" w:after="100" w:afterLines="100" w:line="480" w:lineRule="auto"/>
      <w:ind w:firstLine="480"/>
      <w:jc w:val="center"/>
    </w:pPr>
    <w:rPr>
      <w:rFonts w:ascii="Times New Roman" w:hAnsi="Times New Roman" w:eastAsia="黑体" w:cs="Times New Roman"/>
      <w:kern w:val="0"/>
      <w:sz w:val="32"/>
    </w:rPr>
  </w:style>
  <w:style w:type="character" w:customStyle="1" w:styleId="23">
    <w:name w:val="一级标题 Char"/>
    <w:link w:val="22"/>
    <w:autoRedefine/>
    <w:qFormat/>
    <w:uiPriority w:val="0"/>
    <w:rPr>
      <w:rFonts w:ascii="Times New Roman" w:hAnsi="Times New Roman" w:eastAsia="黑体" w:cs="Times New Roman"/>
      <w:b/>
      <w:sz w:val="32"/>
    </w:rPr>
  </w:style>
  <w:style w:type="character" w:customStyle="1" w:styleId="24">
    <w:name w:val="二级标题 Char"/>
    <w:link w:val="17"/>
    <w:autoRedefine/>
    <w:qFormat/>
    <w:uiPriority w:val="0"/>
    <w:rPr>
      <w:rFonts w:ascii="Times New Roman" w:hAnsi="Times New Roman" w:eastAsia="黑体" w:cs="Times New Roman"/>
      <w:b/>
      <w:sz w:val="28"/>
    </w:rPr>
  </w:style>
  <w:style w:type="paragraph" w:customStyle="1" w:styleId="25">
    <w:name w:val="引文"/>
    <w:basedOn w:val="1"/>
    <w:link w:val="26"/>
    <w:autoRedefine/>
    <w:qFormat/>
    <w:uiPriority w:val="0"/>
    <w:pPr>
      <w:spacing w:before="240" w:after="240"/>
      <w:ind w:left="200" w:leftChars="200"/>
    </w:pPr>
    <w:rPr>
      <w:rFonts w:eastAsia="仿宋"/>
      <w:kern w:val="0"/>
      <w:sz w:val="24"/>
    </w:rPr>
  </w:style>
  <w:style w:type="character" w:customStyle="1" w:styleId="26">
    <w:name w:val="引文 Char"/>
    <w:link w:val="25"/>
    <w:autoRedefine/>
    <w:qFormat/>
    <w:uiPriority w:val="0"/>
    <w:rPr>
      <w:rFonts w:ascii="Times New Roman" w:hAnsi="Times New Roman" w:eastAsia="仿宋"/>
      <w:sz w:val="24"/>
    </w:rPr>
  </w:style>
  <w:style w:type="character" w:customStyle="1" w:styleId="27">
    <w:name w:val="脚注文本 Char"/>
    <w:basedOn w:val="14"/>
    <w:link w:val="11"/>
    <w:autoRedefine/>
    <w:qFormat/>
    <w:uiPriority w:val="0"/>
    <w:rPr>
      <w:rFonts w:ascii="Times New Roman" w:hAnsi="Times New Roman" w:eastAsia="宋体" w:cs="Times New Roman"/>
      <w:kern w:val="2"/>
      <w:sz w:val="18"/>
      <w:szCs w:val="18"/>
      <w:lang w:val="en-US" w:eastAsia="zh-CN" w:bidi="ar-SA"/>
    </w:rPr>
  </w:style>
  <w:style w:type="paragraph" w:customStyle="1" w:styleId="28">
    <w:name w:val="公文一级标题"/>
    <w:basedOn w:val="2"/>
    <w:next w:val="16"/>
    <w:autoRedefine/>
    <w:qFormat/>
    <w:uiPriority w:val="0"/>
    <w:pPr>
      <w:spacing w:before="20" w:after="20" w:line="108" w:lineRule="auto"/>
      <w:ind w:firstLine="640" w:firstLineChars="200"/>
      <w:jc w:val="both"/>
    </w:pPr>
    <w:rPr>
      <w:rFonts w:ascii="Times New Roman" w:hAnsi="Times New Roman" w:eastAsia="黑体"/>
      <w:b w:val="0"/>
      <w:sz w:val="32"/>
    </w:rPr>
  </w:style>
  <w:style w:type="paragraph" w:customStyle="1" w:styleId="29">
    <w:name w:val="公文三级标题"/>
    <w:basedOn w:val="4"/>
    <w:next w:val="16"/>
    <w:autoRedefine/>
    <w:qFormat/>
    <w:uiPriority w:val="0"/>
    <w:pPr>
      <w:numPr>
        <w:ilvl w:val="0"/>
        <w:numId w:val="3"/>
      </w:numPr>
      <w:spacing w:before="20" w:after="20" w:line="240" w:lineRule="auto"/>
      <w:ind w:firstLine="880" w:firstLineChars="200"/>
    </w:pPr>
    <w:rPr>
      <w:rFonts w:ascii="Calibri" w:hAnsi="Calibri" w:eastAsia="仿宋_GB2312"/>
      <w:szCs w:val="24"/>
    </w:rPr>
  </w:style>
  <w:style w:type="character" w:customStyle="1" w:styleId="30">
    <w:name w:val="公文二级标题 Char"/>
    <w:link w:val="18"/>
    <w:autoRedefine/>
    <w:qFormat/>
    <w:uiPriority w:val="0"/>
    <w:rPr>
      <w:rFonts w:ascii="Arial" w:hAnsi="Arial" w:eastAsia="楷体" w:cs="Times New Roman"/>
      <w:szCs w:val="24"/>
    </w:rPr>
  </w:style>
  <w:style w:type="paragraph" w:customStyle="1" w:styleId="31">
    <w:name w:val="投标2级"/>
    <w:basedOn w:val="1"/>
    <w:autoRedefine/>
    <w:qFormat/>
    <w:uiPriority w:val="0"/>
    <w:pPr>
      <w:spacing w:line="460" w:lineRule="exact"/>
      <w:outlineLvl w:val="1"/>
    </w:pPr>
    <w:rPr>
      <w:rFonts w:hint="eastAsia" w:ascii="宋体" w:hAnsi="宋体" w:eastAsia="宋体" w:cs="宋体"/>
      <w:b/>
      <w:sz w:val="24"/>
      <w:szCs w:val="21"/>
    </w:rPr>
  </w:style>
  <w:style w:type="paragraph" w:customStyle="1" w:styleId="32">
    <w:name w:val="投标3级"/>
    <w:basedOn w:val="1"/>
    <w:next w:val="4"/>
    <w:autoRedefine/>
    <w:qFormat/>
    <w:uiPriority w:val="0"/>
    <w:pPr>
      <w:spacing w:line="520" w:lineRule="exact"/>
      <w:ind w:firstLine="1687" w:firstLineChars="200"/>
    </w:pPr>
    <w:rPr>
      <w:rFonts w:hint="eastAsia" w:ascii="宋体" w:hAnsi="宋体" w:eastAsia="宋体" w:cs="Times New Roman"/>
      <w:b/>
      <w:bCs/>
      <w:sz w:val="24"/>
      <w:szCs w:val="24"/>
    </w:rPr>
  </w:style>
  <w:style w:type="paragraph" w:customStyle="1" w:styleId="33">
    <w:name w:val="00投标1级"/>
    <w:basedOn w:val="2"/>
    <w:next w:val="1"/>
    <w:autoRedefine/>
    <w:qFormat/>
    <w:uiPriority w:val="0"/>
    <w:pPr>
      <w:spacing w:line="400" w:lineRule="exact"/>
      <w:ind w:firstLine="0" w:firstLineChars="0"/>
      <w:jc w:val="center"/>
    </w:pPr>
    <w:rPr>
      <w:rFonts w:hint="eastAsia" w:ascii="宋体" w:hAnsi="宋体" w:eastAsia="宋体" w:cs="宋体"/>
      <w:bCs/>
      <w:kern w:val="0"/>
      <w:sz w:val="28"/>
      <w:szCs w:val="28"/>
    </w:rPr>
  </w:style>
  <w:style w:type="paragraph" w:customStyle="1" w:styleId="34">
    <w:name w:val="00投标3级"/>
    <w:basedOn w:val="1"/>
    <w:next w:val="4"/>
    <w:link w:val="35"/>
    <w:autoRedefine/>
    <w:qFormat/>
    <w:uiPriority w:val="0"/>
    <w:pPr>
      <w:spacing w:line="520" w:lineRule="exact"/>
      <w:ind w:firstLine="1687" w:firstLineChars="200"/>
    </w:pPr>
    <w:rPr>
      <w:rFonts w:hint="eastAsia" w:ascii="宋体" w:hAnsi="宋体" w:eastAsia="宋体" w:cs="Times New Roman"/>
      <w:b/>
      <w:bCs/>
      <w:sz w:val="24"/>
      <w:szCs w:val="24"/>
    </w:rPr>
  </w:style>
  <w:style w:type="character" w:customStyle="1" w:styleId="35">
    <w:name w:val="投标3级 Char"/>
    <w:link w:val="34"/>
    <w:autoRedefine/>
    <w:qFormat/>
    <w:uiPriority w:val="0"/>
    <w:rPr>
      <w:rFonts w:hint="eastAsia" w:ascii="宋体" w:hAnsi="宋体" w:eastAsia="宋体" w:cs="Times New Roman"/>
      <w:b/>
      <w:bCs/>
      <w:sz w:val="24"/>
      <w:szCs w:val="24"/>
    </w:rPr>
  </w:style>
  <w:style w:type="paragraph" w:customStyle="1" w:styleId="36">
    <w:name w:val="年报二级"/>
    <w:basedOn w:val="3"/>
    <w:next w:val="16"/>
    <w:autoRedefine/>
    <w:qFormat/>
    <w:uiPriority w:val="0"/>
    <w:pPr>
      <w:spacing w:before="20" w:after="20" w:line="560" w:lineRule="exact"/>
      <w:ind w:leftChars="0" w:firstLine="643" w:firstLineChars="200"/>
    </w:pPr>
    <w:rPr>
      <w:rFonts w:hint="eastAsia" w:ascii="Calibri" w:hAnsi="Calibri" w:eastAsia="楷体"/>
      <w:b w:val="0"/>
    </w:rPr>
  </w:style>
  <w:style w:type="paragraph" w:customStyle="1" w:styleId="37">
    <w:name w:val="案例标题"/>
    <w:basedOn w:val="5"/>
    <w:autoRedefine/>
    <w:qFormat/>
    <w:uiPriority w:val="0"/>
    <w:pPr>
      <w:spacing w:after="200" w:afterLines="0" w:line="400" w:lineRule="exact"/>
      <w:ind w:firstLine="0" w:firstLineChars="0"/>
      <w:jc w:val="both"/>
    </w:pPr>
    <w:rPr>
      <w:rFonts w:hint="eastAsia" w:ascii="Calibri" w:hAnsi="Calibri" w:eastAsia="楷体"/>
      <w:sz w:val="30"/>
    </w:rPr>
  </w:style>
  <w:style w:type="paragraph" w:customStyle="1" w:styleId="38">
    <w:name w:val="年报表格"/>
    <w:basedOn w:val="5"/>
    <w:next w:val="16"/>
    <w:autoRedefine/>
    <w:qFormat/>
    <w:uiPriority w:val="0"/>
    <w:pPr>
      <w:widowControl/>
      <w:topLinePunct/>
      <w:autoSpaceDE w:val="0"/>
      <w:adjustRightInd w:val="0"/>
      <w:snapToGrid w:val="0"/>
      <w:spacing w:before="20" w:after="50" w:afterLines="50" w:line="482" w:lineRule="exact"/>
      <w:jc w:val="center"/>
      <w:textAlignment w:val="baseline"/>
    </w:pPr>
    <w:rPr>
      <w:rFonts w:hint="eastAsia" w:ascii="楷体_GB2312" w:hAnsi="楷体_GB2312" w:eastAsia="楷体" w:cs="楷体_GB2312"/>
      <w:bCs/>
      <w:snapToGrid w:val="0"/>
      <w:color w:val="000000"/>
      <w:kern w:val="0"/>
      <w:position w:val="-5"/>
      <w:szCs w:val="28"/>
    </w:rPr>
  </w:style>
  <w:style w:type="paragraph" w:customStyle="1" w:styleId="39">
    <w:name w:val="案例正文"/>
    <w:basedOn w:val="1"/>
    <w:autoRedefine/>
    <w:qFormat/>
    <w:uiPriority w:val="0"/>
    <w:pPr>
      <w:spacing w:afterLines="0" w:line="400" w:lineRule="exact"/>
      <w:ind w:firstLine="880" w:firstLineChars="200"/>
    </w:pPr>
    <w:rPr>
      <w:rFonts w:hint="eastAsia" w:ascii="Calibri" w:hAnsi="Calibri" w:eastAsia="楷体" w:cs="Times New Roman"/>
      <w:sz w:val="30"/>
    </w:rPr>
  </w:style>
  <w:style w:type="paragraph" w:customStyle="1" w:styleId="40">
    <w:name w:val="年报图片"/>
    <w:basedOn w:val="5"/>
    <w:next w:val="16"/>
    <w:autoRedefine/>
    <w:qFormat/>
    <w:uiPriority w:val="0"/>
    <w:pPr>
      <w:widowControl/>
      <w:topLinePunct/>
      <w:autoSpaceDE w:val="0"/>
      <w:adjustRightInd w:val="0"/>
      <w:snapToGrid w:val="0"/>
      <w:spacing w:before="20" w:after="50" w:afterLines="50" w:line="482" w:lineRule="exact"/>
      <w:jc w:val="center"/>
      <w:textAlignment w:val="baseline"/>
    </w:pPr>
    <w:rPr>
      <w:rFonts w:hint="eastAsia" w:ascii="楷体_GB2312" w:hAnsi="楷体_GB2312" w:eastAsia="楷体" w:cs="楷体_GB2312"/>
      <w:bCs/>
      <w:snapToGrid w:val="0"/>
      <w:color w:val="000000"/>
      <w:kern w:val="0"/>
      <w:position w:val="-5"/>
      <w:szCs w:val="28"/>
    </w:rPr>
  </w:style>
  <w:style w:type="character" w:customStyle="1" w:styleId="41">
    <w:name w:val="font21"/>
    <w:basedOn w:val="14"/>
    <w:autoRedefine/>
    <w:qFormat/>
    <w:uiPriority w:val="0"/>
    <w:rPr>
      <w:rFonts w:ascii="仿宋_GB2312" w:eastAsia="仿宋_GB2312" w:cs="仿宋_GB2312"/>
      <w:b/>
      <w:bCs/>
      <w:color w:val="FFFFFF"/>
      <w:sz w:val="21"/>
      <w:szCs w:val="21"/>
      <w:u w:val="none"/>
    </w:rPr>
  </w:style>
  <w:style w:type="character" w:customStyle="1" w:styleId="42">
    <w:name w:val="font31"/>
    <w:basedOn w:val="14"/>
    <w:autoRedefine/>
    <w:qFormat/>
    <w:uiPriority w:val="0"/>
    <w:rPr>
      <w:rFonts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chart" Target="charts/chart1.xml"/><Relationship Id="rId10" Type="http://schemas.openxmlformats.org/officeDocument/2006/relationships/image" Target="media/image3.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Xrs\docker\22&#24066;&#25945;&#32946;&#23616;&#32844;&#25104;\231115&#65288;&#30465;&#21381;&#65289;2023&#24180;&#36136;&#37327;&#24180;&#25253;\240117&#25776;&#20889;\2023&#24180;&#25253;&#20869;&#21508;&#31181;&#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elete val="1"/>
          </c:dLbls>
          <c:cat>
            <c:strRef>
              <c:f>[2023年报内各种表格.xlsx]Sheet2!$B$1:$D$1</c:f>
              <c:strCache>
                <c:ptCount val="3"/>
                <c:pt idx="0">
                  <c:v>第一产业</c:v>
                </c:pt>
                <c:pt idx="1">
                  <c:v>第二产业</c:v>
                </c:pt>
                <c:pt idx="2">
                  <c:v>第三产业</c:v>
                </c:pt>
              </c:strCache>
            </c:strRef>
          </c:cat>
          <c:val>
            <c:numRef>
              <c:f>[2023年报内各种表格.xlsx]Sheet2!$B$2:$D$2</c:f>
              <c:numCache>
                <c:formatCode>General</c:formatCode>
                <c:ptCount val="3"/>
                <c:pt idx="0">
                  <c:v>18</c:v>
                </c:pt>
                <c:pt idx="1">
                  <c:v>1125</c:v>
                </c:pt>
                <c:pt idx="2">
                  <c:v>1441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50</Pages>
  <Words>14147</Words>
  <Characters>15741</Characters>
  <Lines>0</Lines>
  <Paragraphs>0</Paragraphs>
  <TotalTime>0</TotalTime>
  <ScaleCrop>false</ScaleCrop>
  <LinksUpToDate>false</LinksUpToDate>
  <CharactersWithSpaces>16224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Rex楠翔</cp:lastModifiedBy>
  <dcterms:modified xsi:type="dcterms:W3CDTF">2024-02-06T08:26:40Z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3EF73801B86F46569F7468E21673A477</vt:lpwstr>
  </property>
</Properties>
</file>