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0ACA2">
      <w:pPr>
        <w:pStyle w:val="17"/>
        <w:bidi w:val="0"/>
        <w:rPr>
          <w:rFonts w:hint="eastAsia"/>
          <w:lang w:eastAsia="zh-CN"/>
        </w:rPr>
      </w:pPr>
      <w:bookmarkStart w:id="1" w:name="_GoBack"/>
      <w:r>
        <w:rPr>
          <w:rFonts w:hint="eastAsia"/>
          <w:lang w:eastAsia="zh-CN"/>
        </w:rPr>
        <w:t>九江市中小学校服务保障中心</w:t>
      </w:r>
    </w:p>
    <w:p w14:paraId="7A272926">
      <w:pPr>
        <w:pStyle w:val="17"/>
        <w:bidi w:val="0"/>
        <w:rPr>
          <w:rFonts w:hint="eastAsia"/>
        </w:rPr>
      </w:pPr>
      <w:r>
        <w:rPr>
          <w:rFonts w:hint="eastAsia"/>
          <w:lang w:eastAsia="zh-CN"/>
        </w:rPr>
        <w:t>2026</w:t>
      </w:r>
      <w:r>
        <w:rPr>
          <w:rFonts w:hint="eastAsia"/>
        </w:rPr>
        <w:t>年</w:t>
      </w:r>
      <w:r>
        <w:rPr>
          <w:rFonts w:hint="eastAsia"/>
          <w:lang w:val="en-US" w:eastAsia="zh-CN"/>
        </w:rPr>
        <w:t>单位</w:t>
      </w:r>
      <w:r>
        <w:rPr>
          <w:rFonts w:hint="eastAsia"/>
        </w:rPr>
        <w:t>预算</w:t>
      </w:r>
    </w:p>
    <w:bookmarkEnd w:id="1"/>
    <w:p w14:paraId="7AF82829">
      <w:pPr>
        <w:pStyle w:val="14"/>
        <w:spacing w:line="600" w:lineRule="atLeast"/>
        <w:jc w:val="center"/>
        <w:rPr>
          <w:rFonts w:ascii="黑体" w:hAnsi="黑体" w:eastAsia="黑体"/>
          <w:color w:val="000000"/>
          <w:sz w:val="32"/>
          <w:szCs w:val="32"/>
        </w:rPr>
      </w:pPr>
    </w:p>
    <w:p w14:paraId="50DBB5E3">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2ED3D12">
      <w:pPr>
        <w:pStyle w:val="14"/>
        <w:rPr>
          <w:rFonts w:ascii="宋体" w:hAnsi="宋体"/>
          <w:color w:val="000000"/>
        </w:rPr>
      </w:pPr>
    </w:p>
    <w:p w14:paraId="6FD03A12">
      <w:pPr>
        <w:pStyle w:val="18"/>
        <w:numPr>
          <w:ilvl w:val="0"/>
          <w:numId w:val="0"/>
        </w:numPr>
        <w:bidi w:val="0"/>
        <w:ind w:left="420" w:leftChars="200"/>
        <w:jc w:val="left"/>
        <w:rPr>
          <w:rFonts w:hint="eastAsia"/>
          <w:lang w:eastAsia="zh-CN"/>
        </w:rPr>
      </w:pPr>
      <w:r>
        <w:rPr>
          <w:rFonts w:hint="eastAsia"/>
          <w:lang w:val="en-US" w:eastAsia="zh-CN"/>
        </w:rPr>
        <w:t>第一部分  九江市中小学校服务保障中心概况</w:t>
      </w:r>
    </w:p>
    <w:p w14:paraId="04D3AAEA">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4715A95C">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FBBFB3A">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九江市中小学校服务保障中心2026</w:t>
      </w:r>
      <w:r>
        <w:rPr>
          <w:rFonts w:hint="eastAsia"/>
        </w:rPr>
        <w:t>年</w:t>
      </w:r>
      <w:r>
        <w:rPr>
          <w:rFonts w:hint="eastAsia"/>
          <w:lang w:val="en-US" w:eastAsia="zh-CN"/>
        </w:rPr>
        <w:t>单位</w:t>
      </w:r>
      <w:r>
        <w:rPr>
          <w:rFonts w:hint="eastAsia"/>
        </w:rPr>
        <w:t>预算表</w:t>
      </w:r>
    </w:p>
    <w:p w14:paraId="2F167E75">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B50807E">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F81B259">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27F9204">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E177DFD">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51B34CA">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33FBBCA">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0A38763">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4231B25">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E952E3F">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76309E2">
      <w:pPr>
        <w:pStyle w:val="19"/>
        <w:bidi w:val="0"/>
        <w:ind w:left="0" w:leftChars="0" w:firstLine="0" w:firstLineChars="0"/>
        <w:rPr>
          <w:rFonts w:hint="eastAsia" w:ascii="仿宋_GB2312" w:hAnsi="仿宋_GB2312" w:eastAsia="仿宋_GB2312" w:cs="仿宋_GB2312"/>
        </w:rPr>
      </w:pPr>
    </w:p>
    <w:p w14:paraId="37512702">
      <w:pPr>
        <w:pStyle w:val="18"/>
        <w:numPr>
          <w:ilvl w:val="0"/>
          <w:numId w:val="0"/>
        </w:numPr>
        <w:bidi w:val="0"/>
        <w:ind w:left="420" w:leftChars="200"/>
        <w:jc w:val="left"/>
        <w:rPr>
          <w:rFonts w:hint="eastAsia"/>
          <w:lang w:eastAsia="zh-CN"/>
        </w:rPr>
      </w:pPr>
      <w:r>
        <w:rPr>
          <w:rFonts w:hint="eastAsia"/>
          <w:lang w:eastAsia="zh-CN"/>
        </w:rPr>
        <w:t>第三部分 九江市中小学校服务保障中心 2026年</w:t>
      </w:r>
      <w:r>
        <w:rPr>
          <w:rFonts w:hint="eastAsia"/>
          <w:lang w:val="en-US" w:eastAsia="zh-CN"/>
        </w:rPr>
        <w:t>单位</w:t>
      </w:r>
      <w:r>
        <w:rPr>
          <w:rFonts w:hint="eastAsia"/>
          <w:lang w:eastAsia="zh-CN"/>
        </w:rPr>
        <w:t>预算情况说明</w:t>
      </w:r>
    </w:p>
    <w:p w14:paraId="20B4C1B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7D5B18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400BB0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297C39EA">
      <w:pPr>
        <w:pStyle w:val="18"/>
        <w:numPr>
          <w:ilvl w:val="0"/>
          <w:numId w:val="0"/>
        </w:numPr>
        <w:bidi w:val="0"/>
        <w:ind w:left="420" w:leftChars="200"/>
        <w:jc w:val="left"/>
        <w:rPr>
          <w:rFonts w:hint="eastAsia"/>
          <w:lang w:eastAsia="zh-CN"/>
        </w:rPr>
      </w:pPr>
      <w:r>
        <w:rPr>
          <w:rFonts w:hint="eastAsia"/>
          <w:lang w:eastAsia="zh-CN"/>
        </w:rPr>
        <w:t>第四部分  名词解释</w:t>
      </w:r>
    </w:p>
    <w:p w14:paraId="73C1E452">
      <w:pPr>
        <w:widowControl/>
        <w:spacing w:line="580" w:lineRule="exact"/>
        <w:jc w:val="center"/>
        <w:rPr>
          <w:rFonts w:ascii="仿宋_GB2312" w:eastAsia="仿宋_GB2312"/>
          <w:b/>
          <w:sz w:val="32"/>
          <w:szCs w:val="30"/>
        </w:rPr>
      </w:pPr>
    </w:p>
    <w:p w14:paraId="6EBBCC23">
      <w:pPr>
        <w:widowControl/>
        <w:spacing w:line="580" w:lineRule="exact"/>
        <w:jc w:val="center"/>
        <w:rPr>
          <w:rFonts w:ascii="仿宋_GB2312" w:eastAsia="仿宋_GB2312"/>
          <w:b/>
          <w:sz w:val="32"/>
          <w:szCs w:val="30"/>
        </w:rPr>
      </w:pPr>
    </w:p>
    <w:p w14:paraId="4A32890B">
      <w:pPr>
        <w:pStyle w:val="18"/>
        <w:numPr>
          <w:ilvl w:val="0"/>
          <w:numId w:val="0"/>
        </w:numPr>
        <w:bidi w:val="0"/>
        <w:ind w:left="420" w:leftChars="200"/>
        <w:jc w:val="center"/>
        <w:rPr>
          <w:rFonts w:hint="eastAsia"/>
          <w:lang w:eastAsia="zh-CN"/>
        </w:rPr>
      </w:pPr>
      <w:r>
        <w:rPr>
          <w:rFonts w:hint="eastAsia"/>
          <w:lang w:eastAsia="zh-CN"/>
        </w:rPr>
        <w:t>第一部分  九江市中小学校服务保障中心概况</w:t>
      </w:r>
    </w:p>
    <w:p w14:paraId="39D9C608">
      <w:pPr>
        <w:widowControl/>
        <w:spacing w:line="580" w:lineRule="exact"/>
        <w:jc w:val="left"/>
        <w:rPr>
          <w:rFonts w:asciiTheme="minorEastAsia" w:hAnsiTheme="minorEastAsia"/>
          <w:b/>
          <w:sz w:val="36"/>
          <w:szCs w:val="36"/>
        </w:rPr>
      </w:pPr>
    </w:p>
    <w:p w14:paraId="79727810">
      <w:pPr>
        <w:pStyle w:val="18"/>
        <w:numPr>
          <w:ilvl w:val="0"/>
          <w:numId w:val="0"/>
        </w:numPr>
        <w:bidi w:val="0"/>
        <w:ind w:leftChars="300"/>
        <w:rPr>
          <w:rFonts w:hint="eastAsia" w:ascii="仿宋_GB2312" w:hAnsi="仿宋_GB2312" w:eastAsia="仿宋_GB2312" w:cs="仿宋_GB2312"/>
          <w:kern w:val="2"/>
          <w:sz w:val="32"/>
          <w:szCs w:val="32"/>
          <w:lang w:val="en-US" w:eastAsia="zh-CN" w:bidi="ar-SA"/>
        </w:rPr>
      </w:pPr>
      <w:r>
        <w:rPr>
          <w:rFonts w:hint="eastAsia" w:ascii="黑体" w:hAnsi="黑体" w:eastAsia="黑体"/>
        </w:rPr>
        <w:t>一、</w:t>
      </w:r>
      <w:r>
        <w:rPr>
          <w:rFonts w:hint="eastAsia"/>
          <w:lang w:val="en-US" w:eastAsia="zh-CN"/>
        </w:rPr>
        <w:t>单位</w:t>
      </w:r>
      <w:r>
        <w:rPr>
          <w:rFonts w:hint="eastAsia"/>
        </w:rPr>
        <w:t>主要职责</w:t>
      </w:r>
    </w:p>
    <w:p w14:paraId="7ACA588D">
      <w:pPr>
        <w:widowControl/>
        <w:spacing w:line="580" w:lineRule="exact"/>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根据中共九江市委机构编制委员会文件{九编发(2021)50号}中共九江市委机构编制委员会关于明确市教育局所属事业单位有关机构编制事项的通知，市教育局党委按照中央、省关于深化事业单位改革试点要求，根据《中共九江市委办公室九江市人民政府办公室关于印发〈九江市深化事业单位改革试点工作方案〉的通知》(九办发(2021)2号)精神，现就市教育局所属事业单位-九江市中小学校服务保障中心机构编制事项明确规定了三定方案，九江市中小学校服务保障中心单位主要职责如下：</w:t>
      </w:r>
    </w:p>
    <w:p w14:paraId="43FF9FDF">
      <w:pPr>
        <w:widowControl/>
        <w:spacing w:line="58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1.负责指导、监督全市中小学（幼儿园、中等职业学校）校舍建设与管理、校舍档案的建立和校舍建设信息的采集、报送；负责指导检查全市中小学（幼儿园、中等职业学校）校园管理。</w:t>
      </w:r>
    </w:p>
    <w:p w14:paraId="53454EFD">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2.负责指导市直并指导县区做好中央、省、市校建专项资金项目及社会各界捐赠项目的实施。</w:t>
      </w:r>
    </w:p>
    <w:p w14:paraId="6C959E9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市直中小学校（幼儿园、中等职业学校）的基础设施建设和校舍维修（修缮）项目的实施；负责做好市直中小学校的（幼儿园、中等职业学校）校建项目可行性评估及项目建设年度计划的制定工作；指导并配合市直中小学校（幼儿园、中等职业学校）共同协调有关部门办理工程相关手续，构建推进、调度长效机制。</w:t>
      </w:r>
    </w:p>
    <w:p w14:paraId="3862155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全面落实学前教育、义务教育、普通高中和中等职业教育阶段国家资助政策，做好业务指导工作；协助市教育局组织实施、监督管理中央彩票公益基金（润雨计划、滋惠计划、励耕计划）、中职奖学金等项目；负责指导各县（市、区）做好生源地信用助学贷款及相关贷后管理工作；负责指导各地各校开展资助工作宣传、舆情防控等工作；负责做好社会资助相关工作。</w:t>
      </w:r>
    </w:p>
    <w:p w14:paraId="56B2BB2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负责全市学校食堂管理监督工作;协助做好学校食品安全工作；负责全市学校学生用品、校服的监督管理；推动学校教育行业风险管理建设工作并负责监管；负责全市学校学生用奶监管工作；负责协助落实消费扶贫工作。</w:t>
      </w:r>
    </w:p>
    <w:p w14:paraId="5E36BC1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6.完成市教育局交办的其他工作。</w:t>
      </w:r>
    </w:p>
    <w:p w14:paraId="76E3EED3">
      <w:pPr>
        <w:pStyle w:val="18"/>
        <w:numPr>
          <w:ilvl w:val="0"/>
          <w:numId w:val="0"/>
        </w:numPr>
        <w:bidi w:val="0"/>
        <w:ind w:left="420" w:leftChars="200" w:firstLine="320" w:firstLineChars="100"/>
        <w:rPr>
          <w:rFonts w:hint="eastAsia"/>
        </w:rPr>
      </w:pPr>
      <w:r>
        <w:rPr>
          <w:rFonts w:hint="eastAsia"/>
        </w:rPr>
        <w:t>二、机构设置及人员情况</w:t>
      </w:r>
    </w:p>
    <w:p w14:paraId="09B45892">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MERGEFIELD ${page540426799.ds254512694_REP_JXJC_AGENCY_WZR_NAME}</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九江市中小学校服务保障中心内设科室</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_7_个，包括：办公室、市直校建室、县(区) 校建室、企业监管室、后勤管理室、基础教育资助室、职业教育与社会资助室7 个正股级机构，各配正股级职数1名，共7名正股级职数。 九江市中小学校服务保障中心共有预算单位1个。</w:t>
      </w:r>
    </w:p>
    <w:p w14:paraId="55E1D433">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编制人数小计</w:t>
      </w:r>
      <w:bookmarkStart w:id="0" w:name="_Hlk187681371"/>
      <w:r>
        <w:rPr>
          <w:rFonts w:hint="eastAsia" w:ascii="仿宋_GB2312" w:hAnsi="仿宋_GB2312" w:eastAsia="仿宋_GB2312" w:cs="仿宋_GB2312"/>
          <w:kern w:val="2"/>
          <w:sz w:val="32"/>
          <w:szCs w:val="32"/>
          <w:lang w:val="en-US" w:eastAsia="zh-CN" w:bidi="ar-SA"/>
        </w:rPr>
        <w:t>_</w:t>
      </w:r>
      <w:bookmarkEnd w:id="0"/>
      <w:r>
        <w:rPr>
          <w:rFonts w:hint="eastAsia" w:ascii="仿宋_GB2312" w:hAnsi="仿宋_GB2312" w:eastAsia="仿宋_GB2312" w:cs="仿宋_GB2312"/>
          <w:kern w:val="2"/>
          <w:sz w:val="32"/>
          <w:szCs w:val="32"/>
          <w:lang w:val="en-US" w:eastAsia="zh-CN" w:bidi="ar-SA"/>
        </w:rPr>
        <w:t>24人,其中：行政编制人数_0_人,参照公务员管理的事业编制人数_0_人,全部补助事业编制人数_24_人,自收自支编制人数_0_人。实有人数小计_24_人,其中：在职人数小计_24人,行政在职人数_0_人,参照公务员管理的事业单位在职人数_0_人,全部补助事业在职人数_24_人。离休人数小计_0_人,退休人数小计_14_人,退职人员_0_人,遗属人数_1_人。在校学生_0_人,其中：本科生人数_0_人，专科生人数_0_人。</w:t>
      </w:r>
    </w:p>
    <w:p w14:paraId="72F7D7DE">
      <w:pPr>
        <w:pStyle w:val="18"/>
        <w:numPr>
          <w:ilvl w:val="0"/>
          <w:numId w:val="0"/>
        </w:numPr>
        <w:bidi w:val="0"/>
        <w:jc w:val="both"/>
        <w:rPr>
          <w:rFonts w:hint="eastAsia"/>
          <w:lang w:eastAsia="zh-CN"/>
        </w:rPr>
      </w:pPr>
      <w:r>
        <w:rPr>
          <w:rFonts w:hint="eastAsia"/>
          <w:lang w:eastAsia="zh-CN"/>
        </w:rPr>
        <w:t>第二部分  九江市中小学校服务保障中心2026年</w:t>
      </w:r>
      <w:r>
        <w:rPr>
          <w:rFonts w:hint="eastAsia"/>
          <w:lang w:val="en-US" w:eastAsia="zh-CN"/>
        </w:rPr>
        <w:t>单位</w:t>
      </w:r>
      <w:r>
        <w:rPr>
          <w:rFonts w:hint="eastAsia"/>
          <w:lang w:eastAsia="zh-CN"/>
        </w:rPr>
        <w:t>预算表</w:t>
      </w:r>
    </w:p>
    <w:p w14:paraId="0A951B95">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2D3046B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FF37A8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5CA8A02">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CAE3D1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131035九江市中小学校服务保障中心</w:t>
            </w:r>
          </w:p>
        </w:tc>
        <w:tc>
          <w:tcPr>
            <w:tcW w:w="1655" w:type="pct"/>
            <w:noWrap/>
            <w:vAlign w:val="bottom"/>
          </w:tcPr>
          <w:p w14:paraId="15D1F53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657907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CD93DD8">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FD17C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20F21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74030A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1C51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79F1F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9A22F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30186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A9119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BEE1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DB997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636.14</w:t>
            </w:r>
          </w:p>
        </w:tc>
        <w:tc>
          <w:tcPr>
            <w:tcW w:w="1655" w:type="pct"/>
            <w:tcBorders>
              <w:top w:val="nil"/>
              <w:left w:val="nil"/>
              <w:bottom w:val="single" w:color="000000" w:sz="4" w:space="0"/>
              <w:right w:val="single" w:color="000000" w:sz="4" w:space="0"/>
            </w:tcBorders>
            <w:noWrap/>
            <w:vAlign w:val="center"/>
          </w:tcPr>
          <w:p w14:paraId="3B6450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BD309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659.48</w:t>
            </w:r>
          </w:p>
        </w:tc>
      </w:tr>
      <w:tr w14:paraId="6DFF82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69DC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988A0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636.14</w:t>
            </w:r>
          </w:p>
        </w:tc>
        <w:tc>
          <w:tcPr>
            <w:tcW w:w="1655" w:type="pct"/>
            <w:tcBorders>
              <w:top w:val="nil"/>
              <w:left w:val="nil"/>
              <w:bottom w:val="single" w:color="000000" w:sz="4" w:space="0"/>
              <w:right w:val="single" w:color="000000" w:sz="4" w:space="0"/>
            </w:tcBorders>
            <w:noWrap/>
            <w:vAlign w:val="center"/>
          </w:tcPr>
          <w:p w14:paraId="4CE4C5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77FF2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54.03</w:t>
            </w:r>
          </w:p>
        </w:tc>
      </w:tr>
      <w:tr w14:paraId="7CF363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272C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80DAE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72F0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2758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D990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8BBF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5DD39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5F779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B227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339677">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1FA02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3E7EF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9269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9A30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0393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26A7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6A680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8D5F8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F09A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6171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DD7A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D9410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2711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E8EC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2A32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E6D9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92B63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1362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FBBA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6808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93D9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2FC64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D557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6A82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0D73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838D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0DFC5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77.37</w:t>
            </w:r>
          </w:p>
        </w:tc>
        <w:tc>
          <w:tcPr>
            <w:tcW w:w="1655" w:type="pct"/>
            <w:tcBorders>
              <w:top w:val="nil"/>
              <w:left w:val="nil"/>
              <w:bottom w:val="single" w:color="000000" w:sz="4" w:space="0"/>
              <w:right w:val="single" w:color="000000" w:sz="4" w:space="0"/>
            </w:tcBorders>
            <w:noWrap/>
            <w:vAlign w:val="center"/>
          </w:tcPr>
          <w:p w14:paraId="02DE1F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4DFC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E863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1B48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66853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D39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2A9A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D11F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52B5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3830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75CA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E7C9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9211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EF78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52BE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F72B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481A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834C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BF02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F3F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D8E7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7C5E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5175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D0D5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3A32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D168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0EDB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1E8A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D6D4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843B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1D5E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EE19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AE4A65">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F255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91E5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C94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50F5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DE10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C2D2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4B79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7C0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9D8C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D1BA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84C1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78BC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18C2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2279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3548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7EA1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4B97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461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C8E1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624D6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9FC8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491C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B42F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71AF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0618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8238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E62C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EF84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19A1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CCC0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4CC0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89BC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95D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F326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C193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3FB5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FE42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1845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131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F02AC4">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FE02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362B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AD13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F83C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2EE977">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4A32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607B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6CD7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646E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6628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E808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8315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64E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3C31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AD3D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121C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BDDD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DD53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73E5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A82B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8732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8786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4AE9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AFF9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BD01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C0E7E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0AC08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713.51</w:t>
            </w:r>
          </w:p>
        </w:tc>
        <w:tc>
          <w:tcPr>
            <w:tcW w:w="1655" w:type="pct"/>
            <w:tcBorders>
              <w:top w:val="nil"/>
              <w:left w:val="nil"/>
              <w:bottom w:val="single" w:color="auto" w:sz="4" w:space="0"/>
              <w:right w:val="single" w:color="000000" w:sz="4" w:space="0"/>
            </w:tcBorders>
            <w:noWrap/>
            <w:vAlign w:val="center"/>
          </w:tcPr>
          <w:p w14:paraId="0765EB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74093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713.51</w:t>
            </w:r>
          </w:p>
        </w:tc>
      </w:tr>
      <w:tr w14:paraId="7D115BA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B3D3A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D3E04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FFCCA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832B3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CD82B1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70436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99248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8C6E4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F687F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14BD59">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02D29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DFCE1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713.51</w:t>
            </w:r>
          </w:p>
        </w:tc>
        <w:tc>
          <w:tcPr>
            <w:tcW w:w="1655" w:type="pct"/>
            <w:tcBorders>
              <w:top w:val="single" w:color="auto" w:sz="4" w:space="0"/>
              <w:left w:val="single" w:color="auto" w:sz="4" w:space="0"/>
              <w:bottom w:val="single" w:color="auto" w:sz="4" w:space="0"/>
              <w:right w:val="single" w:color="auto" w:sz="4" w:space="0"/>
            </w:tcBorders>
            <w:noWrap/>
            <w:vAlign w:val="center"/>
          </w:tcPr>
          <w:p w14:paraId="3A11F7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3E6B9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713.51</w:t>
            </w:r>
          </w:p>
        </w:tc>
      </w:tr>
    </w:tbl>
    <w:p w14:paraId="6BA1F45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14C4B179">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7FA550A">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47F7CE6">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589A4C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填报单位:131035九江市中小学校服务保障中心</w:t>
            </w:r>
          </w:p>
        </w:tc>
        <w:tc>
          <w:tcPr>
            <w:tcW w:w="366" w:type="pct"/>
            <w:tcBorders>
              <w:top w:val="nil"/>
              <w:left w:val="nil"/>
              <w:bottom w:val="single" w:color="auto" w:sz="4" w:space="0"/>
              <w:right w:val="nil"/>
            </w:tcBorders>
            <w:shd w:val="clear" w:color="auto" w:fill="auto"/>
            <w:noWrap/>
            <w:vAlign w:val="bottom"/>
          </w:tcPr>
          <w:p w14:paraId="63EDB904">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8E252C9">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6C944F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3E1F11D">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6DCE9A8">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57AC886">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D913A8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412E07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D41270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FC1E554">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1AB28F9">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62DA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7EFC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909A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48744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06A6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532E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EE04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28EC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6FD8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10A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028F92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E309068">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420079C">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E86B7DB">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E3924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E3A20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C0B9C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7C109F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07544CA">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A5ADC9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8E28FC9">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17EF8F4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A75498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2B5C40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639A1BA3">
            <w:pPr>
              <w:widowControl/>
              <w:jc w:val="left"/>
              <w:rPr>
                <w:rFonts w:ascii="宋体" w:hAnsi="宋体" w:eastAsia="宋体" w:cs="Arial"/>
                <w:color w:val="000000"/>
                <w:kern w:val="0"/>
                <w:sz w:val="13"/>
                <w:szCs w:val="13"/>
              </w:rPr>
            </w:pPr>
          </w:p>
        </w:tc>
      </w:tr>
      <w:tr w14:paraId="3AB9813F">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9389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D552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3C85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D894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1E24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9AD1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B886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36CC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BBAE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8ED9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2326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74E9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1F40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3F6F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1614DB0">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9DE5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九江市中小学校服务保障中心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E8F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713.51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06D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C89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636.14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3B1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636.14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B28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9DA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C72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D1C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3CA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93E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01B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B16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77.37</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F82E8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CA313B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B8722F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48946D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90CEAA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B31366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131035九江市中小学校服务保障中心</w:t>
            </w:r>
          </w:p>
        </w:tc>
        <w:tc>
          <w:tcPr>
            <w:tcW w:w="914" w:type="pct"/>
            <w:tcBorders>
              <w:top w:val="nil"/>
              <w:left w:val="nil"/>
              <w:bottom w:val="nil"/>
              <w:right w:val="nil"/>
            </w:tcBorders>
            <w:shd w:val="clear" w:color="auto" w:fill="auto"/>
            <w:noWrap/>
            <w:vAlign w:val="bottom"/>
          </w:tcPr>
          <w:p w14:paraId="43C908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E6C9CF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CC6D1A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C96F95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48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A963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84AC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D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1A1C8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463A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EE9D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02B9F3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0A8B45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FF4BAE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0CD2C9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A3BD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28CA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8A632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BD431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DBD1A0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580AA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9DE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A8E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54D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1AD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713.51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580D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2EF4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A19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009A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4E02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7DD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C0EF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DB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978B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9C08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9F9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5AD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0492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51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2DC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7B3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E62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659.48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B917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7260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5B5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36B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C446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A3CF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EA44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F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5E1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56A1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875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5BC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F7E41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C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6D9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A2C1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2D1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031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59D8C1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D690824">
        <w:tblPrEx>
          <w:tblCellMar>
            <w:top w:w="0" w:type="dxa"/>
            <w:left w:w="108" w:type="dxa"/>
            <w:bottom w:w="0" w:type="dxa"/>
            <w:right w:w="108" w:type="dxa"/>
          </w:tblCellMar>
        </w:tblPrEx>
        <w:trPr>
          <w:trHeight w:val="585" w:hRule="atLeast"/>
          <w:tblHeader/>
        </w:trPr>
        <w:tc>
          <w:tcPr>
            <w:tcW w:w="5000" w:type="pct"/>
            <w:gridSpan w:val="7"/>
            <w:noWrap/>
            <w:vAlign w:val="center"/>
          </w:tcPr>
          <w:p w14:paraId="3065A54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4F0CA19">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975413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填报单位:131035九江市中小学校服务保障中心</w:t>
            </w:r>
          </w:p>
        </w:tc>
        <w:tc>
          <w:tcPr>
            <w:tcW w:w="577" w:type="pct"/>
            <w:noWrap/>
            <w:vAlign w:val="bottom"/>
          </w:tcPr>
          <w:p w14:paraId="0039C9B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318973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052933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9B27BC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789FC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EFF1E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260984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D45F6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88CD9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2B601D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B4054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8A2F6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C6ECE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A6107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2562D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03360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74169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636.14</w:t>
            </w:r>
          </w:p>
        </w:tc>
        <w:tc>
          <w:tcPr>
            <w:tcW w:w="948" w:type="pct"/>
            <w:tcBorders>
              <w:top w:val="nil"/>
              <w:left w:val="nil"/>
              <w:bottom w:val="single" w:color="000000" w:sz="4" w:space="0"/>
              <w:right w:val="single" w:color="000000" w:sz="4" w:space="0"/>
            </w:tcBorders>
            <w:noWrap/>
            <w:vAlign w:val="center"/>
          </w:tcPr>
          <w:p w14:paraId="7A92C9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766556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582.11</w:t>
            </w:r>
          </w:p>
        </w:tc>
        <w:tc>
          <w:tcPr>
            <w:tcW w:w="612" w:type="pct"/>
            <w:tcBorders>
              <w:top w:val="nil"/>
              <w:left w:val="nil"/>
              <w:bottom w:val="single" w:color="000000" w:sz="4" w:space="0"/>
              <w:right w:val="single" w:color="000000" w:sz="4" w:space="0"/>
            </w:tcBorders>
            <w:noWrap/>
            <w:vAlign w:val="center"/>
          </w:tcPr>
          <w:p w14:paraId="67B946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582.11</w:t>
            </w:r>
          </w:p>
        </w:tc>
        <w:tc>
          <w:tcPr>
            <w:tcW w:w="602" w:type="pct"/>
            <w:tcBorders>
              <w:top w:val="nil"/>
              <w:left w:val="nil"/>
              <w:bottom w:val="single" w:color="000000" w:sz="4" w:space="0"/>
              <w:right w:val="single" w:color="000000" w:sz="4" w:space="0"/>
            </w:tcBorders>
            <w:noWrap/>
            <w:vAlign w:val="center"/>
          </w:tcPr>
          <w:p w14:paraId="45E4D0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230F2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EBDD6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41D42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9384C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636.14</w:t>
            </w:r>
          </w:p>
        </w:tc>
        <w:tc>
          <w:tcPr>
            <w:tcW w:w="948" w:type="pct"/>
            <w:tcBorders>
              <w:top w:val="nil"/>
              <w:left w:val="single" w:color="000000" w:sz="4" w:space="0"/>
              <w:bottom w:val="single" w:color="000000" w:sz="4" w:space="0"/>
              <w:right w:val="single" w:color="000000" w:sz="4" w:space="0"/>
            </w:tcBorders>
            <w:noWrap/>
            <w:vAlign w:val="center"/>
          </w:tcPr>
          <w:p w14:paraId="32A7F027">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D285D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54.03</w:t>
            </w:r>
          </w:p>
        </w:tc>
        <w:tc>
          <w:tcPr>
            <w:tcW w:w="612" w:type="pct"/>
            <w:tcBorders>
              <w:top w:val="nil"/>
              <w:left w:val="nil"/>
              <w:bottom w:val="single" w:color="000000" w:sz="4" w:space="0"/>
              <w:right w:val="single" w:color="000000" w:sz="4" w:space="0"/>
            </w:tcBorders>
            <w:noWrap/>
            <w:vAlign w:val="center"/>
          </w:tcPr>
          <w:p w14:paraId="68A014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54.03</w:t>
            </w:r>
          </w:p>
        </w:tc>
        <w:tc>
          <w:tcPr>
            <w:tcW w:w="602" w:type="pct"/>
            <w:tcBorders>
              <w:top w:val="nil"/>
              <w:left w:val="nil"/>
              <w:bottom w:val="single" w:color="000000" w:sz="4" w:space="0"/>
              <w:right w:val="single" w:color="000000" w:sz="4" w:space="0"/>
            </w:tcBorders>
            <w:noWrap/>
            <w:vAlign w:val="center"/>
          </w:tcPr>
          <w:p w14:paraId="5A369C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0F45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D4A43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D12AD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D863A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F5443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D4A09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BBEC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A4B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2AF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5D3B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4CFDF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813BA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14402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37DAC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99E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F4D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6152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0DBF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1207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05BF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4A7C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289C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3454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FEDF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F43C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1F42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A356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773D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723B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3C9D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96AE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D11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5E8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0FAD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EB8A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C48E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1D6D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1DFA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8837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A37C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5791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01563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124F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E01C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A3D5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96C0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3174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AAB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5260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54CE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4F16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A396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4ECC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34E5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3933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7AF7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BFE0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99AD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3CB6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FE12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5385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85D6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55E6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C5BC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FCC7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98CE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321F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194E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01B8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07AC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543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4519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039C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E7A2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BABE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B8D2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476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B614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116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42CD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5C4C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817B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1819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2ED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B12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3FDC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B10C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5CCE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8BD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BC60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7A3B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788E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90FA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6AAB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A44B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600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76E3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9474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531C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0965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3B1C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0E0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97E7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6EF8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3DA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BCC8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D00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EE6A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9DE0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2669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A51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2F1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06C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562B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B0C5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3C6F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782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DE93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117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E2FE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013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FC5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6322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9A3B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5BD7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FB87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25F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C7F3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BBF0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74ED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1433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FABB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87E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E7DE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5999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6B3C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A4E2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6B16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CCC4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B013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D960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AFF7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3238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59BC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1D72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5CCD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949B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243F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2CD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4EFC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C3DC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E55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4FD8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684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F705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2FAD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9EF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0E8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30E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C3DA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0973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98D0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4AC1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440C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7EC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6EA8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98D0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6088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403D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8B06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D55B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EF6B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EE9F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C294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FEE8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2C9F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EEE0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0396C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BC2F80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10D6B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81DFE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8F44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BB44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7A61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2216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B191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4A51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50A1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D859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F07D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168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8884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D653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B173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1779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DE33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25F4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59F7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6013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0ADA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0857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76F7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7D0E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CE733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CA5C4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4FABD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B54D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A2FD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1EEF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D439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ECBA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61D1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439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0D82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EA93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F4FF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E5AB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6BEB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053C5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ADC60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C7CB54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C7538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414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9E8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735AC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B60B2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5D84619">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D7C10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400C1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9BB85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B1ED5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8AE44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0EE307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F7D734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9EA24B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74BBA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B37C4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9E28C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4849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B9369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774537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3424C2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3FDE0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AB41A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636.14</w:t>
            </w:r>
          </w:p>
        </w:tc>
        <w:tc>
          <w:tcPr>
            <w:tcW w:w="948" w:type="pct"/>
            <w:tcBorders>
              <w:top w:val="single" w:color="auto" w:sz="4" w:space="0"/>
              <w:left w:val="single" w:color="auto" w:sz="4" w:space="0"/>
              <w:bottom w:val="single" w:color="auto" w:sz="4" w:space="0"/>
              <w:right w:val="single" w:color="auto" w:sz="4" w:space="0"/>
            </w:tcBorders>
            <w:noWrap/>
            <w:vAlign w:val="center"/>
          </w:tcPr>
          <w:p w14:paraId="400666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E0499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636.14</w:t>
            </w:r>
          </w:p>
        </w:tc>
        <w:tc>
          <w:tcPr>
            <w:tcW w:w="612" w:type="pct"/>
            <w:tcBorders>
              <w:top w:val="single" w:color="auto" w:sz="4" w:space="0"/>
              <w:left w:val="single" w:color="auto" w:sz="4" w:space="0"/>
              <w:bottom w:val="single" w:color="auto" w:sz="4" w:space="0"/>
              <w:right w:val="single" w:color="auto" w:sz="4" w:space="0"/>
            </w:tcBorders>
            <w:noWrap/>
            <w:vAlign w:val="center"/>
          </w:tcPr>
          <w:p w14:paraId="645FCE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636.14</w:t>
            </w:r>
          </w:p>
        </w:tc>
        <w:tc>
          <w:tcPr>
            <w:tcW w:w="602" w:type="pct"/>
            <w:tcBorders>
              <w:top w:val="single" w:color="auto" w:sz="4" w:space="0"/>
              <w:left w:val="single" w:color="auto" w:sz="4" w:space="0"/>
              <w:bottom w:val="single" w:color="auto" w:sz="4" w:space="0"/>
              <w:right w:val="single" w:color="auto" w:sz="4" w:space="0"/>
            </w:tcBorders>
            <w:noWrap/>
            <w:vAlign w:val="center"/>
          </w:tcPr>
          <w:p w14:paraId="73FF6B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04F2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A93D9D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62647B2">
        <w:tblPrEx>
          <w:tblCellMar>
            <w:top w:w="0" w:type="dxa"/>
            <w:left w:w="108" w:type="dxa"/>
            <w:bottom w:w="0" w:type="dxa"/>
            <w:right w:w="108" w:type="dxa"/>
          </w:tblCellMar>
        </w:tblPrEx>
        <w:trPr>
          <w:trHeight w:val="585" w:hRule="atLeast"/>
          <w:tblHeader/>
        </w:trPr>
        <w:tc>
          <w:tcPr>
            <w:tcW w:w="5000" w:type="pct"/>
            <w:gridSpan w:val="5"/>
            <w:noWrap/>
            <w:vAlign w:val="center"/>
          </w:tcPr>
          <w:p w14:paraId="585AAE2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B2A3A3A">
        <w:tblPrEx>
          <w:tblCellMar>
            <w:top w:w="0" w:type="dxa"/>
            <w:left w:w="108" w:type="dxa"/>
            <w:bottom w:w="0" w:type="dxa"/>
            <w:right w:w="108" w:type="dxa"/>
          </w:tblCellMar>
        </w:tblPrEx>
        <w:trPr>
          <w:trHeight w:val="420" w:hRule="atLeast"/>
          <w:tblHeader/>
        </w:trPr>
        <w:tc>
          <w:tcPr>
            <w:tcW w:w="2433" w:type="pct"/>
            <w:gridSpan w:val="2"/>
            <w:noWrap/>
            <w:vAlign w:val="center"/>
          </w:tcPr>
          <w:p w14:paraId="308D693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填报单位:131035九江市中小学校服务保障中心</w:t>
            </w:r>
          </w:p>
        </w:tc>
        <w:tc>
          <w:tcPr>
            <w:tcW w:w="1056" w:type="pct"/>
            <w:noWrap/>
            <w:vAlign w:val="bottom"/>
          </w:tcPr>
          <w:p w14:paraId="5812E34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591C7D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3E6B2E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1D71FC">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FA6F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BB87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F8E6A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8372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058C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6184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5B22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6EDB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C53010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B163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ACE9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8758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3212B1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38606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E57EAA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0545C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0B20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2DC86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636.14</w:t>
            </w:r>
          </w:p>
        </w:tc>
        <w:tc>
          <w:tcPr>
            <w:tcW w:w="684" w:type="pct"/>
            <w:tcBorders>
              <w:top w:val="single" w:color="000000" w:sz="4" w:space="0"/>
              <w:left w:val="nil"/>
              <w:bottom w:val="single" w:color="000000" w:sz="4" w:space="0"/>
              <w:right w:val="single" w:color="000000" w:sz="4" w:space="0"/>
            </w:tcBorders>
            <w:noWrap/>
            <w:vAlign w:val="center"/>
          </w:tcPr>
          <w:p w14:paraId="31D2D3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636.14</w:t>
            </w:r>
          </w:p>
        </w:tc>
        <w:tc>
          <w:tcPr>
            <w:tcW w:w="825" w:type="pct"/>
            <w:tcBorders>
              <w:top w:val="single" w:color="000000" w:sz="4" w:space="0"/>
              <w:left w:val="nil"/>
              <w:bottom w:val="single" w:color="000000" w:sz="4" w:space="0"/>
              <w:right w:val="single" w:color="000000" w:sz="4" w:space="0"/>
            </w:tcBorders>
            <w:noWrap/>
            <w:vAlign w:val="center"/>
          </w:tcPr>
          <w:p w14:paraId="47891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6DEB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DF4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6CB1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74548D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582.11</w:t>
            </w:r>
          </w:p>
        </w:tc>
        <w:tc>
          <w:tcPr>
            <w:tcW w:w="684" w:type="pct"/>
            <w:tcBorders>
              <w:top w:val="single" w:color="000000" w:sz="4" w:space="0"/>
              <w:left w:val="nil"/>
              <w:bottom w:val="single" w:color="000000" w:sz="4" w:space="0"/>
              <w:right w:val="single" w:color="000000" w:sz="4" w:space="0"/>
            </w:tcBorders>
            <w:noWrap/>
            <w:vAlign w:val="center"/>
          </w:tcPr>
          <w:p w14:paraId="4B279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582.11</w:t>
            </w:r>
          </w:p>
        </w:tc>
        <w:tc>
          <w:tcPr>
            <w:tcW w:w="825" w:type="pct"/>
            <w:tcBorders>
              <w:top w:val="single" w:color="000000" w:sz="4" w:space="0"/>
              <w:left w:val="nil"/>
              <w:bottom w:val="single" w:color="000000" w:sz="4" w:space="0"/>
              <w:right w:val="single" w:color="000000" w:sz="4" w:space="0"/>
            </w:tcBorders>
            <w:noWrap/>
            <w:vAlign w:val="center"/>
          </w:tcPr>
          <w:p w14:paraId="61E42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422E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03D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579" w:type="pct"/>
            <w:tcBorders>
              <w:top w:val="single" w:color="000000" w:sz="4" w:space="0"/>
              <w:left w:val="nil"/>
              <w:bottom w:val="single" w:color="000000" w:sz="4" w:space="0"/>
              <w:right w:val="single" w:color="000000" w:sz="4" w:space="0"/>
            </w:tcBorders>
            <w:noWrap/>
            <w:vAlign w:val="center"/>
          </w:tcPr>
          <w:p w14:paraId="73B7D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1056" w:type="pct"/>
            <w:tcBorders>
              <w:top w:val="single" w:color="000000" w:sz="4" w:space="0"/>
              <w:left w:val="nil"/>
              <w:bottom w:val="single" w:color="000000" w:sz="4" w:space="0"/>
              <w:right w:val="single" w:color="000000" w:sz="4" w:space="0"/>
            </w:tcBorders>
            <w:noWrap/>
            <w:vAlign w:val="center"/>
          </w:tcPr>
          <w:p w14:paraId="0CAFF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582.11</w:t>
            </w:r>
          </w:p>
        </w:tc>
        <w:tc>
          <w:tcPr>
            <w:tcW w:w="684" w:type="pct"/>
            <w:tcBorders>
              <w:top w:val="single" w:color="000000" w:sz="4" w:space="0"/>
              <w:left w:val="nil"/>
              <w:bottom w:val="single" w:color="000000" w:sz="4" w:space="0"/>
              <w:right w:val="single" w:color="000000" w:sz="4" w:space="0"/>
            </w:tcBorders>
            <w:noWrap/>
            <w:vAlign w:val="center"/>
          </w:tcPr>
          <w:p w14:paraId="2927FA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582.11</w:t>
            </w:r>
          </w:p>
        </w:tc>
        <w:tc>
          <w:tcPr>
            <w:tcW w:w="825" w:type="pct"/>
            <w:tcBorders>
              <w:top w:val="single" w:color="000000" w:sz="4" w:space="0"/>
              <w:left w:val="nil"/>
              <w:bottom w:val="single" w:color="000000" w:sz="4" w:space="0"/>
              <w:right w:val="single" w:color="000000" w:sz="4" w:space="0"/>
            </w:tcBorders>
            <w:noWrap/>
            <w:vAlign w:val="center"/>
          </w:tcPr>
          <w:p w14:paraId="63AE7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9F187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031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2050199</w:t>
            </w:r>
          </w:p>
        </w:tc>
        <w:tc>
          <w:tcPr>
            <w:tcW w:w="1579" w:type="pct"/>
            <w:tcBorders>
              <w:top w:val="single" w:color="000000" w:sz="4" w:space="0"/>
              <w:left w:val="nil"/>
              <w:bottom w:val="single" w:color="000000" w:sz="4" w:space="0"/>
              <w:right w:val="single" w:color="000000" w:sz="4" w:space="0"/>
            </w:tcBorders>
            <w:noWrap/>
            <w:vAlign w:val="center"/>
          </w:tcPr>
          <w:p w14:paraId="4EC8C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其他教育管理事务支出</w:t>
            </w:r>
          </w:p>
        </w:tc>
        <w:tc>
          <w:tcPr>
            <w:tcW w:w="1056" w:type="pct"/>
            <w:tcBorders>
              <w:top w:val="single" w:color="000000" w:sz="4" w:space="0"/>
              <w:left w:val="nil"/>
              <w:bottom w:val="single" w:color="000000" w:sz="4" w:space="0"/>
              <w:right w:val="single" w:color="000000" w:sz="4" w:space="0"/>
            </w:tcBorders>
            <w:noWrap/>
            <w:vAlign w:val="center"/>
          </w:tcPr>
          <w:p w14:paraId="3927D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582.11</w:t>
            </w:r>
          </w:p>
        </w:tc>
        <w:tc>
          <w:tcPr>
            <w:tcW w:w="684" w:type="pct"/>
            <w:tcBorders>
              <w:top w:val="single" w:color="000000" w:sz="4" w:space="0"/>
              <w:left w:val="nil"/>
              <w:bottom w:val="single" w:color="000000" w:sz="4" w:space="0"/>
              <w:right w:val="single" w:color="000000" w:sz="4" w:space="0"/>
            </w:tcBorders>
            <w:noWrap/>
            <w:vAlign w:val="center"/>
          </w:tcPr>
          <w:p w14:paraId="2A876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582.11</w:t>
            </w:r>
          </w:p>
        </w:tc>
        <w:tc>
          <w:tcPr>
            <w:tcW w:w="825" w:type="pct"/>
            <w:tcBorders>
              <w:top w:val="single" w:color="000000" w:sz="4" w:space="0"/>
              <w:left w:val="nil"/>
              <w:bottom w:val="single" w:color="000000" w:sz="4" w:space="0"/>
              <w:right w:val="single" w:color="000000" w:sz="4" w:space="0"/>
            </w:tcBorders>
            <w:noWrap/>
            <w:vAlign w:val="center"/>
          </w:tcPr>
          <w:p w14:paraId="736A3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E3BD29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604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AF573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35D3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684" w:type="pct"/>
            <w:tcBorders>
              <w:top w:val="single" w:color="000000" w:sz="4" w:space="0"/>
              <w:left w:val="nil"/>
              <w:bottom w:val="single" w:color="000000" w:sz="4" w:space="0"/>
              <w:right w:val="single" w:color="000000" w:sz="4" w:space="0"/>
            </w:tcBorders>
            <w:noWrap/>
            <w:vAlign w:val="center"/>
          </w:tcPr>
          <w:p w14:paraId="414A47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825" w:type="pct"/>
            <w:tcBorders>
              <w:top w:val="single" w:color="000000" w:sz="4" w:space="0"/>
              <w:left w:val="nil"/>
              <w:bottom w:val="single" w:color="000000" w:sz="4" w:space="0"/>
              <w:right w:val="single" w:color="000000" w:sz="4" w:space="0"/>
            </w:tcBorders>
            <w:noWrap/>
            <w:vAlign w:val="center"/>
          </w:tcPr>
          <w:p w14:paraId="73165B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39B0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F28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D7C2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C643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684" w:type="pct"/>
            <w:tcBorders>
              <w:top w:val="single" w:color="000000" w:sz="4" w:space="0"/>
              <w:left w:val="nil"/>
              <w:bottom w:val="single" w:color="000000" w:sz="4" w:space="0"/>
              <w:right w:val="single" w:color="000000" w:sz="4" w:space="0"/>
            </w:tcBorders>
            <w:noWrap/>
            <w:vAlign w:val="center"/>
          </w:tcPr>
          <w:p w14:paraId="06AF7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54.03</w:t>
            </w:r>
          </w:p>
        </w:tc>
        <w:tc>
          <w:tcPr>
            <w:tcW w:w="825" w:type="pct"/>
            <w:tcBorders>
              <w:top w:val="single" w:color="000000" w:sz="4" w:space="0"/>
              <w:left w:val="nil"/>
              <w:bottom w:val="single" w:color="000000" w:sz="4" w:space="0"/>
              <w:right w:val="single" w:color="000000" w:sz="4" w:space="0"/>
            </w:tcBorders>
            <w:noWrap/>
            <w:vAlign w:val="center"/>
          </w:tcPr>
          <w:p w14:paraId="1AD528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923FE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CD9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A5C0B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B8A75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54.03</w:t>
            </w:r>
          </w:p>
        </w:tc>
        <w:tc>
          <w:tcPr>
            <w:tcW w:w="684" w:type="pct"/>
            <w:tcBorders>
              <w:top w:val="single" w:color="000000" w:sz="4" w:space="0"/>
              <w:left w:val="nil"/>
              <w:bottom w:val="single" w:color="000000" w:sz="4" w:space="0"/>
              <w:right w:val="single" w:color="000000" w:sz="4" w:space="0"/>
            </w:tcBorders>
            <w:noWrap/>
            <w:vAlign w:val="center"/>
          </w:tcPr>
          <w:p w14:paraId="2E9B8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54.03</w:t>
            </w:r>
          </w:p>
        </w:tc>
        <w:tc>
          <w:tcPr>
            <w:tcW w:w="825" w:type="pct"/>
            <w:tcBorders>
              <w:top w:val="single" w:color="000000" w:sz="4" w:space="0"/>
              <w:left w:val="nil"/>
              <w:bottom w:val="single" w:color="000000" w:sz="4" w:space="0"/>
              <w:right w:val="single" w:color="000000" w:sz="4" w:space="0"/>
            </w:tcBorders>
            <w:noWrap/>
            <w:vAlign w:val="center"/>
          </w:tcPr>
          <w:p w14:paraId="10F64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F53F3B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2FCA933">
        <w:trPr>
          <w:trHeight w:val="585" w:hRule="atLeast"/>
        </w:trPr>
        <w:tc>
          <w:tcPr>
            <w:tcW w:w="5000" w:type="pct"/>
            <w:gridSpan w:val="5"/>
            <w:noWrap/>
            <w:vAlign w:val="center"/>
          </w:tcPr>
          <w:p w14:paraId="3FF1634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28DF94F">
        <w:tblPrEx>
          <w:tblCellMar>
            <w:top w:w="0" w:type="dxa"/>
            <w:left w:w="108" w:type="dxa"/>
            <w:bottom w:w="0" w:type="dxa"/>
            <w:right w:w="108" w:type="dxa"/>
          </w:tblCellMar>
        </w:tblPrEx>
        <w:trPr>
          <w:trHeight w:val="420" w:hRule="atLeast"/>
        </w:trPr>
        <w:tc>
          <w:tcPr>
            <w:tcW w:w="2398" w:type="pct"/>
            <w:gridSpan w:val="2"/>
            <w:noWrap/>
            <w:vAlign w:val="center"/>
          </w:tcPr>
          <w:p w14:paraId="314157A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填报单位:131035九江市中小学校服务保障中心</w:t>
            </w:r>
          </w:p>
        </w:tc>
        <w:tc>
          <w:tcPr>
            <w:tcW w:w="891" w:type="pct"/>
            <w:noWrap/>
            <w:vAlign w:val="bottom"/>
          </w:tcPr>
          <w:p w14:paraId="4E69A52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89143B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F7266E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591178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EE8A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548F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F33E2D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3727D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CE58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D1D7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7F3A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86BA8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4F80A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9DBD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32D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F7A4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5AE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9DE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13DC7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B371F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3376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89CE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636.14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E4E2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597.45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9B1F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38.69</w:t>
            </w:r>
          </w:p>
        </w:tc>
      </w:tr>
      <w:tr w14:paraId="6F00B6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96D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40E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6C0B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536.96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3CF8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536.96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3DB1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C9E5B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32D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778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3680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2513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18DD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03C3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71E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1AE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684C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3AA3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B8D4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A8B3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965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3A2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E2F6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85F9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1BD3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0057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47C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DFA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1906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7B73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C8EF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73F6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834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D23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BF12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7B72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924F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DC1C9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1F84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A09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56E0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783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2416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351C6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890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76E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7995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0E77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8523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2EF8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AF00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0E75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98B5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06C4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39AB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5977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22E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630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AF8A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3562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5145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1D47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8AC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363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BC10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6F65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1A05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38.69</w:t>
            </w:r>
          </w:p>
        </w:tc>
      </w:tr>
      <w:tr w14:paraId="3730E7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9FA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304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E0AE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F138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F9D1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62AE85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911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E53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B4CD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B9FA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68F5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7C65C2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B88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28F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BF7F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426F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4588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w:t>
            </w:r>
          </w:p>
        </w:tc>
      </w:tr>
      <w:tr w14:paraId="213E3D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8D7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47A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9556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8E58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9E49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0.92</w:t>
            </w:r>
          </w:p>
        </w:tc>
      </w:tr>
      <w:tr w14:paraId="74023C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518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BA1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2463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4858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79CF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55BFB5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E47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C08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CAAC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E153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3CE1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1317A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011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F75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D049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2589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E82C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677487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072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7D8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4D08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D214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EE55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478A28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FE5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C15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D374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B9EE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1ADB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207DBC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71A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A4F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600D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3595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D56C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w:t>
            </w:r>
          </w:p>
        </w:tc>
      </w:tr>
      <w:tr w14:paraId="5CD01D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6DB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0CC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4CCB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761B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47EA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4.52</w:t>
            </w:r>
          </w:p>
        </w:tc>
      </w:tr>
      <w:tr w14:paraId="542B23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02C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DB4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60A0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F903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88D0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r>
      <w:tr w14:paraId="398A5DD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299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6021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9085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4D92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D3BB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567E20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8BB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912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CEB8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5DD5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FD55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12.55</w:t>
            </w:r>
          </w:p>
        </w:tc>
      </w:tr>
      <w:tr w14:paraId="0C1F40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BF4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C2F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EA7D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86AF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C6B7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9685F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4A4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1D7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01AD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28B0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464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4089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316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AEF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76C2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BBD6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F904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1635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3E7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09A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8281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E86A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4CA3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192FE2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E58548C">
        <w:tblPrEx>
          <w:tblCellMar>
            <w:top w:w="0" w:type="dxa"/>
            <w:left w:w="108" w:type="dxa"/>
            <w:bottom w:w="0" w:type="dxa"/>
            <w:right w:w="108" w:type="dxa"/>
          </w:tblCellMar>
        </w:tblPrEx>
        <w:trPr>
          <w:trHeight w:val="450" w:hRule="atLeast"/>
          <w:tblHeader/>
        </w:trPr>
        <w:tc>
          <w:tcPr>
            <w:tcW w:w="636" w:type="pct"/>
            <w:noWrap/>
            <w:vAlign w:val="bottom"/>
          </w:tcPr>
          <w:p w14:paraId="10A0663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5B74EEB">
            <w:pPr>
              <w:widowControl/>
              <w:jc w:val="left"/>
              <w:rPr>
                <w:rFonts w:ascii="Times New Roman" w:hAnsi="Times New Roman" w:eastAsia="宋体"/>
                <w:kern w:val="0"/>
                <w:sz w:val="20"/>
                <w:szCs w:val="20"/>
              </w:rPr>
            </w:pPr>
          </w:p>
        </w:tc>
        <w:tc>
          <w:tcPr>
            <w:tcW w:w="684" w:type="pct"/>
            <w:noWrap/>
            <w:vAlign w:val="bottom"/>
          </w:tcPr>
          <w:p w14:paraId="3BBDDC5F">
            <w:pPr>
              <w:widowControl/>
              <w:jc w:val="left"/>
              <w:rPr>
                <w:rFonts w:ascii="Times New Roman" w:hAnsi="Times New Roman" w:eastAsia="宋体"/>
                <w:kern w:val="0"/>
                <w:sz w:val="20"/>
                <w:szCs w:val="20"/>
              </w:rPr>
            </w:pPr>
          </w:p>
        </w:tc>
        <w:tc>
          <w:tcPr>
            <w:tcW w:w="538" w:type="pct"/>
            <w:noWrap/>
            <w:vAlign w:val="bottom"/>
          </w:tcPr>
          <w:p w14:paraId="23FCE547">
            <w:pPr>
              <w:widowControl/>
              <w:jc w:val="left"/>
              <w:rPr>
                <w:rFonts w:ascii="Times New Roman" w:hAnsi="Times New Roman" w:eastAsia="宋体"/>
                <w:kern w:val="0"/>
                <w:sz w:val="20"/>
                <w:szCs w:val="20"/>
              </w:rPr>
            </w:pPr>
          </w:p>
        </w:tc>
        <w:tc>
          <w:tcPr>
            <w:tcW w:w="2836" w:type="pct"/>
            <w:gridSpan w:val="5"/>
            <w:noWrap/>
            <w:vAlign w:val="center"/>
          </w:tcPr>
          <w:p w14:paraId="7B7CB23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CDB0D8A">
        <w:tblPrEx>
          <w:tblCellMar>
            <w:top w:w="0" w:type="dxa"/>
            <w:left w:w="108" w:type="dxa"/>
            <w:bottom w:w="0" w:type="dxa"/>
            <w:right w:w="108" w:type="dxa"/>
          </w:tblCellMar>
        </w:tblPrEx>
        <w:trPr>
          <w:trHeight w:val="485" w:hRule="atLeast"/>
          <w:tblHeader/>
        </w:trPr>
        <w:tc>
          <w:tcPr>
            <w:tcW w:w="5000" w:type="pct"/>
            <w:gridSpan w:val="9"/>
            <w:noWrap/>
            <w:vAlign w:val="center"/>
          </w:tcPr>
          <w:p w14:paraId="04F7FD7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0AB3B6A">
        <w:tblPrEx>
          <w:tblCellMar>
            <w:top w:w="0" w:type="dxa"/>
            <w:left w:w="108" w:type="dxa"/>
            <w:bottom w:w="0" w:type="dxa"/>
            <w:right w:w="108" w:type="dxa"/>
          </w:tblCellMar>
        </w:tblPrEx>
        <w:trPr>
          <w:trHeight w:val="340" w:hRule="atLeast"/>
          <w:tblHeader/>
        </w:trPr>
        <w:tc>
          <w:tcPr>
            <w:tcW w:w="2163" w:type="pct"/>
            <w:gridSpan w:val="4"/>
            <w:noWrap/>
            <w:vAlign w:val="center"/>
          </w:tcPr>
          <w:p w14:paraId="587850F8">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填报单位:131035九江市中小学校服务保障中心</w:t>
            </w:r>
          </w:p>
        </w:tc>
        <w:tc>
          <w:tcPr>
            <w:tcW w:w="742" w:type="pct"/>
            <w:noWrap/>
            <w:vAlign w:val="bottom"/>
          </w:tcPr>
          <w:p w14:paraId="292F56DE">
            <w:pPr>
              <w:widowControl/>
              <w:jc w:val="left"/>
              <w:rPr>
                <w:rFonts w:ascii="Times New Roman" w:hAnsi="Times New Roman" w:eastAsia="宋体"/>
                <w:kern w:val="0"/>
                <w:sz w:val="20"/>
                <w:szCs w:val="20"/>
              </w:rPr>
            </w:pPr>
          </w:p>
        </w:tc>
        <w:tc>
          <w:tcPr>
            <w:tcW w:w="474" w:type="pct"/>
            <w:noWrap/>
            <w:vAlign w:val="bottom"/>
          </w:tcPr>
          <w:p w14:paraId="691073E8">
            <w:pPr>
              <w:widowControl/>
              <w:jc w:val="left"/>
              <w:rPr>
                <w:rFonts w:ascii="Times New Roman" w:hAnsi="Times New Roman" w:eastAsia="宋体"/>
                <w:kern w:val="0"/>
                <w:sz w:val="20"/>
                <w:szCs w:val="20"/>
              </w:rPr>
            </w:pPr>
          </w:p>
        </w:tc>
        <w:tc>
          <w:tcPr>
            <w:tcW w:w="596" w:type="pct"/>
            <w:noWrap/>
            <w:vAlign w:val="bottom"/>
          </w:tcPr>
          <w:p w14:paraId="1FB62ACC">
            <w:pPr>
              <w:widowControl/>
              <w:jc w:val="left"/>
              <w:rPr>
                <w:rFonts w:ascii="Times New Roman" w:hAnsi="Times New Roman" w:eastAsia="宋体"/>
                <w:kern w:val="0"/>
                <w:sz w:val="20"/>
                <w:szCs w:val="20"/>
              </w:rPr>
            </w:pPr>
          </w:p>
        </w:tc>
        <w:tc>
          <w:tcPr>
            <w:tcW w:w="1023" w:type="pct"/>
            <w:gridSpan w:val="2"/>
            <w:noWrap/>
            <w:vAlign w:val="bottom"/>
          </w:tcPr>
          <w:p w14:paraId="24EFA88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E226E2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5791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827F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D030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6871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E66CBD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018437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23D42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53C1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B4248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394B64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9694D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E0B2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02709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74FA3B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ADE3F12">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7C72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6077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BEC8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BEB8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ABF9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6C9E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A15A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1479E9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F029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4" w:type="pct"/>
            <w:tcBorders>
              <w:top w:val="single" w:color="000000" w:sz="4" w:space="0"/>
              <w:left w:val="nil"/>
              <w:bottom w:val="single" w:color="000000" w:sz="4" w:space="0"/>
              <w:right w:val="single" w:color="000000" w:sz="4" w:space="0"/>
            </w:tcBorders>
            <w:vAlign w:val="center"/>
          </w:tcPr>
          <w:p w14:paraId="12011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F213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6C3A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41E8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w:t>
            </w:r>
          </w:p>
        </w:tc>
        <w:tc>
          <w:tcPr>
            <w:tcW w:w="596" w:type="pct"/>
            <w:tcBorders>
              <w:top w:val="single" w:color="000000" w:sz="4" w:space="0"/>
              <w:left w:val="single" w:color="000000" w:sz="4" w:space="0"/>
              <w:bottom w:val="single" w:color="000000" w:sz="4" w:space="0"/>
              <w:right w:val="nil"/>
            </w:tcBorders>
            <w:vAlign w:val="center"/>
          </w:tcPr>
          <w:p w14:paraId="61DF6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3.50</w:t>
            </w:r>
          </w:p>
        </w:tc>
        <w:tc>
          <w:tcPr>
            <w:tcW w:w="543" w:type="pct"/>
            <w:tcBorders>
              <w:top w:val="single" w:color="000000" w:sz="4" w:space="0"/>
              <w:left w:val="single" w:color="000000" w:sz="4" w:space="0"/>
              <w:bottom w:val="single" w:color="000000" w:sz="4" w:space="0"/>
              <w:right w:val="single" w:color="000000" w:sz="4" w:space="0"/>
            </w:tcBorders>
            <w:vAlign w:val="center"/>
          </w:tcPr>
          <w:p w14:paraId="0FC3F3C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3.50</w:t>
            </w:r>
          </w:p>
        </w:tc>
        <w:tc>
          <w:tcPr>
            <w:tcW w:w="479" w:type="pct"/>
            <w:tcBorders>
              <w:top w:val="single" w:color="000000" w:sz="4" w:space="0"/>
              <w:left w:val="nil"/>
              <w:bottom w:val="single" w:color="000000" w:sz="4" w:space="0"/>
              <w:right w:val="single" w:color="000000" w:sz="4" w:space="0"/>
            </w:tcBorders>
            <w:vAlign w:val="center"/>
          </w:tcPr>
          <w:p w14:paraId="0183102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CC301D">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2B6F825">
        <w:tblPrEx>
          <w:tblCellMar>
            <w:top w:w="0" w:type="dxa"/>
            <w:left w:w="108" w:type="dxa"/>
            <w:bottom w:w="0" w:type="dxa"/>
            <w:right w:w="108" w:type="dxa"/>
          </w:tblCellMar>
        </w:tblPrEx>
        <w:trPr>
          <w:trHeight w:val="507" w:hRule="atLeast"/>
          <w:tblHeader/>
        </w:trPr>
        <w:tc>
          <w:tcPr>
            <w:tcW w:w="976" w:type="pct"/>
            <w:noWrap/>
            <w:vAlign w:val="bottom"/>
          </w:tcPr>
          <w:p w14:paraId="6207212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4FF4FBF">
            <w:pPr>
              <w:widowControl/>
              <w:jc w:val="left"/>
              <w:rPr>
                <w:rFonts w:ascii="Times New Roman" w:hAnsi="Times New Roman" w:eastAsia="宋体"/>
                <w:kern w:val="0"/>
                <w:sz w:val="20"/>
                <w:szCs w:val="20"/>
              </w:rPr>
            </w:pPr>
          </w:p>
        </w:tc>
        <w:tc>
          <w:tcPr>
            <w:tcW w:w="2801" w:type="pct"/>
            <w:gridSpan w:val="3"/>
            <w:noWrap/>
            <w:vAlign w:val="center"/>
          </w:tcPr>
          <w:p w14:paraId="670E72B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BFC0EA5">
        <w:tblPrEx>
          <w:tblCellMar>
            <w:top w:w="0" w:type="dxa"/>
            <w:left w:w="108" w:type="dxa"/>
            <w:bottom w:w="0" w:type="dxa"/>
            <w:right w:w="108" w:type="dxa"/>
          </w:tblCellMar>
        </w:tblPrEx>
        <w:trPr>
          <w:trHeight w:val="564" w:hRule="atLeast"/>
          <w:tblHeader/>
        </w:trPr>
        <w:tc>
          <w:tcPr>
            <w:tcW w:w="5000" w:type="pct"/>
            <w:gridSpan w:val="5"/>
            <w:noWrap/>
            <w:vAlign w:val="center"/>
          </w:tcPr>
          <w:p w14:paraId="70D9E50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E83470A">
        <w:tblPrEx>
          <w:tblCellMar>
            <w:top w:w="0" w:type="dxa"/>
            <w:left w:w="108" w:type="dxa"/>
            <w:bottom w:w="0" w:type="dxa"/>
            <w:right w:w="108" w:type="dxa"/>
          </w:tblCellMar>
        </w:tblPrEx>
        <w:trPr>
          <w:trHeight w:val="405" w:hRule="atLeast"/>
          <w:tblHeader/>
        </w:trPr>
        <w:tc>
          <w:tcPr>
            <w:tcW w:w="2198" w:type="pct"/>
            <w:gridSpan w:val="2"/>
            <w:noWrap/>
            <w:vAlign w:val="center"/>
          </w:tcPr>
          <w:p w14:paraId="441A83C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填报单位:131035九江市中小学校服务保障中心</w:t>
            </w:r>
          </w:p>
        </w:tc>
        <w:tc>
          <w:tcPr>
            <w:tcW w:w="1099" w:type="pct"/>
            <w:noWrap/>
            <w:vAlign w:val="bottom"/>
          </w:tcPr>
          <w:p w14:paraId="041ED57D">
            <w:pPr>
              <w:rPr>
                <w:rFonts w:hint="eastAsia" w:ascii="宋体" w:hAnsi="宋体" w:eastAsia="宋体" w:cs="Arial"/>
                <w:color w:val="000000"/>
                <w:kern w:val="0"/>
                <w:sz w:val="24"/>
                <w:szCs w:val="24"/>
              </w:rPr>
            </w:pPr>
          </w:p>
        </w:tc>
        <w:tc>
          <w:tcPr>
            <w:tcW w:w="766" w:type="pct"/>
            <w:noWrap/>
            <w:vAlign w:val="bottom"/>
          </w:tcPr>
          <w:p w14:paraId="583F9555">
            <w:pPr>
              <w:widowControl/>
              <w:jc w:val="left"/>
              <w:rPr>
                <w:rFonts w:ascii="Times New Roman" w:hAnsi="Times New Roman" w:eastAsia="宋体"/>
                <w:kern w:val="0"/>
                <w:sz w:val="20"/>
                <w:szCs w:val="20"/>
              </w:rPr>
            </w:pPr>
          </w:p>
        </w:tc>
        <w:tc>
          <w:tcPr>
            <w:tcW w:w="935" w:type="pct"/>
            <w:noWrap/>
            <w:vAlign w:val="center"/>
          </w:tcPr>
          <w:p w14:paraId="1D6A3E5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857306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8FFB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0718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8F2B68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9BDF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59E5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BA43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913D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D3DE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255AFE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3006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25A5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8F2D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909F6E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3D85A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AA0C2C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9574C31">
        <w:tblPrEx>
          <w:tblCellMar>
            <w:top w:w="0" w:type="dxa"/>
            <w:left w:w="108" w:type="dxa"/>
            <w:bottom w:w="0" w:type="dxa"/>
            <w:right w:w="108" w:type="dxa"/>
          </w:tblCellMar>
        </w:tblPrEx>
        <w:trPr>
          <w:trHeight w:val="619" w:hRule="atLeast"/>
          <w:tblHeader/>
        </w:trPr>
        <w:tc>
          <w:tcPr>
            <w:tcW w:w="960" w:type="pct"/>
            <w:noWrap/>
            <w:vAlign w:val="bottom"/>
          </w:tcPr>
          <w:p w14:paraId="219C1AC0">
            <w:pPr>
              <w:rPr>
                <w:rStyle w:val="13"/>
                <w:rFonts w:hint="eastAsia" w:ascii="仿宋" w:hAnsi="仿宋" w:eastAsia="仿宋"/>
                <w:bCs/>
                <w:sz w:val="32"/>
                <w:szCs w:val="32"/>
              </w:rPr>
            </w:pPr>
          </w:p>
        </w:tc>
        <w:tc>
          <w:tcPr>
            <w:tcW w:w="1233" w:type="pct"/>
            <w:noWrap/>
            <w:vAlign w:val="bottom"/>
          </w:tcPr>
          <w:p w14:paraId="337C72B6">
            <w:pPr>
              <w:widowControl/>
              <w:jc w:val="left"/>
              <w:rPr>
                <w:rFonts w:ascii="Times New Roman" w:hAnsi="Times New Roman" w:eastAsia="宋体"/>
                <w:kern w:val="0"/>
                <w:sz w:val="20"/>
                <w:szCs w:val="20"/>
              </w:rPr>
            </w:pPr>
          </w:p>
        </w:tc>
        <w:tc>
          <w:tcPr>
            <w:tcW w:w="2805" w:type="pct"/>
            <w:gridSpan w:val="3"/>
            <w:noWrap/>
            <w:vAlign w:val="center"/>
          </w:tcPr>
          <w:p w14:paraId="6FA26F1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DCF7DA4">
        <w:tblPrEx>
          <w:tblCellMar>
            <w:top w:w="0" w:type="dxa"/>
            <w:left w:w="108" w:type="dxa"/>
            <w:bottom w:w="0" w:type="dxa"/>
            <w:right w:w="108" w:type="dxa"/>
          </w:tblCellMar>
        </w:tblPrEx>
        <w:trPr>
          <w:trHeight w:val="613" w:hRule="atLeast"/>
          <w:tblHeader/>
        </w:trPr>
        <w:tc>
          <w:tcPr>
            <w:tcW w:w="5000" w:type="pct"/>
            <w:gridSpan w:val="5"/>
            <w:noWrap/>
            <w:vAlign w:val="center"/>
          </w:tcPr>
          <w:p w14:paraId="05C5EEA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25BC6B6">
        <w:tblPrEx>
          <w:tblCellMar>
            <w:top w:w="0" w:type="dxa"/>
            <w:left w:w="108" w:type="dxa"/>
            <w:bottom w:w="0" w:type="dxa"/>
            <w:right w:w="108" w:type="dxa"/>
          </w:tblCellMar>
        </w:tblPrEx>
        <w:trPr>
          <w:trHeight w:val="413" w:hRule="atLeast"/>
          <w:tblHeader/>
        </w:trPr>
        <w:tc>
          <w:tcPr>
            <w:tcW w:w="3282" w:type="pct"/>
            <w:gridSpan w:val="3"/>
            <w:noWrap/>
            <w:vAlign w:val="center"/>
          </w:tcPr>
          <w:p w14:paraId="25DAAD1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填报单位:131035九江市中小学校服务保障中心</w:t>
            </w:r>
          </w:p>
        </w:tc>
        <w:tc>
          <w:tcPr>
            <w:tcW w:w="762" w:type="pct"/>
            <w:noWrap/>
            <w:vAlign w:val="bottom"/>
          </w:tcPr>
          <w:p w14:paraId="4522DA52">
            <w:pPr>
              <w:widowControl/>
              <w:jc w:val="left"/>
              <w:rPr>
                <w:rFonts w:ascii="Times New Roman" w:hAnsi="Times New Roman" w:eastAsia="宋体"/>
                <w:kern w:val="0"/>
                <w:sz w:val="20"/>
                <w:szCs w:val="20"/>
              </w:rPr>
            </w:pPr>
          </w:p>
        </w:tc>
        <w:tc>
          <w:tcPr>
            <w:tcW w:w="954" w:type="pct"/>
            <w:noWrap/>
            <w:vAlign w:val="center"/>
          </w:tcPr>
          <w:p w14:paraId="0245628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C77E44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5124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E93A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6269A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E2F2E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162A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2C2C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EEF99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F66DE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08F044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32B3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72FC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E0B39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7BBF5B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2E92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3D53DE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13372991">
      <w:pPr>
        <w:rPr>
          <w:rFonts w:hint="eastAsia"/>
          <w:lang w:eastAsia="zh-CN"/>
        </w:rPr>
        <w:sectPr>
          <w:pgSz w:w="11906" w:h="16838"/>
          <w:pgMar w:top="720" w:right="720" w:bottom="720" w:left="720" w:header="851" w:footer="992" w:gutter="0"/>
          <w:cols w:space="425" w:num="1"/>
          <w:docGrid w:type="lines" w:linePitch="312" w:charSpace="0"/>
        </w:sectPr>
      </w:pPr>
    </w:p>
    <w:p w14:paraId="166BB0FF">
      <w:pPr>
        <w:pStyle w:val="18"/>
        <w:numPr>
          <w:ilvl w:val="0"/>
          <w:numId w:val="0"/>
        </w:numPr>
        <w:bidi w:val="0"/>
        <w:ind w:left="420" w:leftChars="200"/>
        <w:jc w:val="center"/>
        <w:rPr>
          <w:rFonts w:hint="eastAsia"/>
          <w:lang w:val="en-US" w:eastAsia="zh-CN"/>
        </w:rPr>
      </w:pPr>
    </w:p>
    <w:p w14:paraId="53E7684D">
      <w:pPr>
        <w:widowControl/>
        <w:spacing w:line="560" w:lineRule="exact"/>
        <w:jc w:val="both"/>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2026年年初预算安排无项目支出，故无《项目支出绩效目标表》</w:t>
      </w:r>
    </w:p>
    <w:p w14:paraId="15283008">
      <w:pPr>
        <w:pStyle w:val="18"/>
        <w:numPr>
          <w:ilvl w:val="0"/>
          <w:numId w:val="0"/>
        </w:numPr>
        <w:bidi w:val="0"/>
        <w:ind w:left="420" w:leftChars="200"/>
        <w:jc w:val="center"/>
        <w:rPr>
          <w:rFonts w:hint="eastAsia" w:ascii="仿宋_GB2312" w:hAnsi="仿宋_GB2312" w:eastAsia="仿宋_GB2312" w:cstheme="minorBidi"/>
          <w:kern w:val="2"/>
          <w:sz w:val="32"/>
          <w:szCs w:val="32"/>
          <w:lang w:val="en-US" w:eastAsia="zh-CN" w:bidi="ar-SA"/>
        </w:rPr>
      </w:pPr>
    </w:p>
    <w:p w14:paraId="1F97CFCC">
      <w:pPr>
        <w:pStyle w:val="18"/>
        <w:numPr>
          <w:ilvl w:val="0"/>
          <w:numId w:val="0"/>
        </w:numPr>
        <w:bidi w:val="0"/>
        <w:ind w:left="420" w:leftChars="200"/>
        <w:jc w:val="center"/>
        <w:rPr>
          <w:rFonts w:hint="eastAsia"/>
          <w:lang w:eastAsia="zh-CN"/>
        </w:rPr>
      </w:pPr>
      <w:r>
        <w:rPr>
          <w:rFonts w:hint="eastAsia"/>
          <w:lang w:val="en-US" w:eastAsia="zh-CN"/>
        </w:rPr>
        <w:t>第三部分  九江市中小学校服务保障中心2026年单位预算情况说明</w:t>
      </w:r>
    </w:p>
    <w:p w14:paraId="46F4436B">
      <w:pPr>
        <w:widowControl/>
        <w:spacing w:line="580" w:lineRule="exact"/>
        <w:jc w:val="center"/>
        <w:rPr>
          <w:rFonts w:ascii="仿宋_GB2312" w:eastAsia="仿宋_GB2312"/>
          <w:b/>
          <w:sz w:val="32"/>
          <w:szCs w:val="30"/>
        </w:rPr>
      </w:pPr>
    </w:p>
    <w:p w14:paraId="57AD5F26">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9BA3DEB">
      <w:pPr>
        <w:pStyle w:val="20"/>
        <w:numPr>
          <w:ilvl w:val="0"/>
          <w:numId w:val="0"/>
        </w:numPr>
        <w:bidi w:val="0"/>
        <w:ind w:left="420" w:leftChars="200"/>
        <w:rPr>
          <w:rFonts w:hint="eastAsia"/>
        </w:rPr>
      </w:pPr>
      <w:r>
        <w:rPr>
          <w:rFonts w:hint="eastAsia"/>
        </w:rPr>
        <w:t xml:space="preserve"> (一)收入预算情况</w:t>
      </w:r>
    </w:p>
    <w:p w14:paraId="0DEB38BA">
      <w:pPr>
        <w:pStyle w:val="19"/>
        <w:bidi w:val="0"/>
        <w:rPr>
          <w:rFonts w:hint="eastAsia"/>
        </w:rPr>
      </w:pPr>
      <w:r>
        <w:rPr>
          <w:rFonts w:hint="eastAsia"/>
          <w:lang w:eastAsia="zh-CN"/>
        </w:rPr>
        <w:t>2026</w:t>
      </w:r>
      <w:r>
        <w:rPr>
          <w:rFonts w:hint="eastAsia"/>
        </w:rPr>
        <w:t>年</w:t>
      </w:r>
      <w:r>
        <w:rPr>
          <w:rFonts w:hint="eastAsia"/>
          <w:lang w:eastAsia="zh-CN"/>
        </w:rPr>
        <w:t>九江市中小学校服务保障中心</w:t>
      </w:r>
      <w:r>
        <w:rPr>
          <w:rFonts w:hint="eastAsia"/>
        </w:rPr>
        <w:t>收入预算总额为</w:t>
      </w:r>
      <w:r>
        <w:rPr>
          <w:rFonts w:hint="eastAsia"/>
          <w:u w:val="single"/>
        </w:rPr>
        <w:t>713.51</w:t>
      </w:r>
      <w:r>
        <w:rPr>
          <w:rFonts w:hint="eastAsia"/>
        </w:rPr>
        <w:t>万元</w:t>
      </w:r>
      <w:r>
        <w:rPr>
          <w:rFonts w:hint="eastAsia"/>
          <w:lang w:eastAsia="zh-CN"/>
        </w:rPr>
        <w:t>，</w:t>
      </w:r>
      <w:r>
        <w:rPr>
          <w:rFonts w:hint="eastAsia"/>
        </w:rPr>
        <w:t>较上年预算安排</w:t>
      </w:r>
      <w:r>
        <w:rPr>
          <w:rFonts w:hint="eastAsia" w:ascii="仿宋" w:hAnsi="仿宋" w:eastAsia="仿宋"/>
          <w:kern w:val="0"/>
        </w:rPr>
        <w:t>减少</w:t>
      </w:r>
      <w:r>
        <w:rPr>
          <w:rFonts w:hint="eastAsia" w:ascii="仿宋" w:hAnsi="仿宋" w:eastAsia="仿宋"/>
          <w:kern w:val="0"/>
          <w:u w:val="single"/>
          <w:lang w:val="en-US" w:eastAsia="zh-CN"/>
        </w:rPr>
        <w:t>16.15</w:t>
      </w:r>
      <w:r>
        <w:rPr>
          <w:rFonts w:hint="eastAsia"/>
        </w:rPr>
        <w:t>万元</w:t>
      </w:r>
      <w:r>
        <w:rPr>
          <w:rFonts w:hint="eastAsia"/>
          <w:lang w:eastAsia="zh-CN"/>
        </w:rPr>
        <w:t>；本年收入合计</w:t>
      </w:r>
      <w:r>
        <w:rPr>
          <w:rFonts w:hint="eastAsia"/>
          <w:u w:val="single"/>
          <w:lang w:eastAsia="zh-CN"/>
        </w:rPr>
        <w:t>713.51</w:t>
      </w:r>
      <w:r>
        <w:rPr>
          <w:rFonts w:hint="eastAsia"/>
          <w:lang w:eastAsia="zh-CN"/>
        </w:rPr>
        <w:t>万元，较上年预算安排</w:t>
      </w:r>
      <w:r>
        <w:rPr>
          <w:rFonts w:hint="eastAsia" w:ascii="仿宋" w:hAnsi="仿宋" w:eastAsia="仿宋"/>
          <w:kern w:val="0"/>
        </w:rPr>
        <w:t>减少</w:t>
      </w:r>
      <w:r>
        <w:rPr>
          <w:rFonts w:hint="eastAsia" w:ascii="仿宋" w:hAnsi="仿宋" w:eastAsia="仿宋"/>
          <w:kern w:val="0"/>
          <w:u w:val="single"/>
          <w:lang w:val="en-US" w:eastAsia="zh-CN"/>
        </w:rPr>
        <w:t>16.15</w:t>
      </w:r>
      <w:r>
        <w:rPr>
          <w:rFonts w:hint="eastAsia"/>
          <w:lang w:eastAsia="zh-CN"/>
        </w:rPr>
        <w:t>万元；包括：财政拨款收入</w:t>
      </w:r>
      <w:r>
        <w:rPr>
          <w:rFonts w:hint="eastAsia"/>
          <w:u w:val="single"/>
          <w:lang w:eastAsia="zh-CN"/>
        </w:rPr>
        <w:t>636.14</w:t>
      </w:r>
      <w:r>
        <w:rPr>
          <w:rFonts w:hint="eastAsia"/>
          <w:lang w:eastAsia="zh-CN"/>
        </w:rPr>
        <w:t>万元，较上年预算安排</w:t>
      </w:r>
      <w:r>
        <w:rPr>
          <w:rFonts w:hint="eastAsia" w:ascii="仿宋" w:hAnsi="仿宋" w:eastAsia="仿宋"/>
          <w:kern w:val="0"/>
        </w:rPr>
        <w:t>减少</w:t>
      </w:r>
      <w:r>
        <w:rPr>
          <w:rFonts w:hint="eastAsia" w:ascii="仿宋" w:hAnsi="仿宋" w:eastAsia="仿宋"/>
          <w:kern w:val="0"/>
          <w:u w:val="single"/>
          <w:lang w:val="en-US" w:eastAsia="zh-CN"/>
        </w:rPr>
        <w:t>43.52</w:t>
      </w:r>
      <w:r>
        <w:rPr>
          <w:rFonts w:hint="eastAsia"/>
          <w:lang w:eastAsia="zh-CN"/>
        </w:rPr>
        <w:t>万元；其他收入</w:t>
      </w:r>
      <w:r>
        <w:rPr>
          <w:rFonts w:hint="eastAsia"/>
          <w:u w:val="single"/>
          <w:lang w:eastAsia="zh-CN"/>
        </w:rPr>
        <w:t>77.37</w:t>
      </w:r>
      <w:r>
        <w:rPr>
          <w:rFonts w:hint="eastAsia"/>
          <w:lang w:eastAsia="zh-CN"/>
        </w:rPr>
        <w:t>万元，较上年预算安排增加</w:t>
      </w:r>
      <w:r>
        <w:rPr>
          <w:rFonts w:hint="eastAsia"/>
          <w:u w:val="single"/>
          <w:lang w:val="en-US" w:eastAsia="zh-CN"/>
        </w:rPr>
        <w:t>27.37</w:t>
      </w:r>
      <w:r>
        <w:rPr>
          <w:rFonts w:hint="eastAsia"/>
          <w:lang w:eastAsia="zh-CN"/>
        </w:rPr>
        <w:t>万元。</w:t>
      </w:r>
    </w:p>
    <w:p w14:paraId="30768F02">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77581C9">
      <w:pPr>
        <w:pStyle w:val="19"/>
        <w:bidi w:val="0"/>
        <w:rPr>
          <w:rFonts w:hint="eastAsia"/>
        </w:rPr>
      </w:pPr>
      <w:r>
        <w:rPr>
          <w:rFonts w:hint="eastAsia"/>
          <w:lang w:eastAsia="zh-CN"/>
        </w:rPr>
        <w:t>2026</w:t>
      </w:r>
      <w:r>
        <w:rPr>
          <w:rFonts w:hint="eastAsia"/>
        </w:rPr>
        <w:t>年</w:t>
      </w:r>
      <w:r>
        <w:rPr>
          <w:rFonts w:hint="eastAsia"/>
          <w:lang w:eastAsia="zh-CN"/>
        </w:rPr>
        <w:t>九江市中小学校服务保障中心</w:t>
      </w:r>
      <w:r>
        <w:rPr>
          <w:rFonts w:hint="eastAsia"/>
        </w:rPr>
        <w:t>支出预算总额为</w:t>
      </w:r>
      <w:r>
        <w:rPr>
          <w:rFonts w:hint="eastAsia"/>
          <w:u w:val="single"/>
        </w:rPr>
        <w:t>713.51</w:t>
      </w:r>
      <w:r>
        <w:rPr>
          <w:rFonts w:hint="eastAsia"/>
        </w:rPr>
        <w:t>万元</w:t>
      </w:r>
      <w:r>
        <w:rPr>
          <w:rFonts w:hint="eastAsia"/>
          <w:lang w:eastAsia="zh-CN"/>
        </w:rPr>
        <w:t>，</w:t>
      </w:r>
      <w:r>
        <w:rPr>
          <w:rFonts w:hint="eastAsia"/>
        </w:rPr>
        <w:t>较上年预算安排</w:t>
      </w:r>
      <w:r>
        <w:rPr>
          <w:rStyle w:val="13"/>
          <w:rFonts w:ascii="仿宋" w:hAnsi="仿宋" w:eastAsia="仿宋"/>
        </w:rPr>
        <w:t>减少</w:t>
      </w:r>
      <w:r>
        <w:rPr>
          <w:rFonts w:hint="eastAsia" w:ascii="仿宋" w:hAnsi="仿宋" w:eastAsia="仿宋"/>
          <w:kern w:val="0"/>
          <w:u w:val="single"/>
          <w:lang w:val="en-US" w:eastAsia="zh-CN"/>
        </w:rPr>
        <w:t>16.15</w:t>
      </w:r>
      <w:r>
        <w:rPr>
          <w:rFonts w:hint="eastAsia"/>
        </w:rPr>
        <w:t xml:space="preserve">万元。 </w:t>
      </w:r>
    </w:p>
    <w:p w14:paraId="4ED3B542">
      <w:pPr>
        <w:pStyle w:val="19"/>
        <w:bidi w:val="0"/>
        <w:rPr>
          <w:rFonts w:hint="eastAsia"/>
        </w:rPr>
      </w:pPr>
      <w:r>
        <w:rPr>
          <w:rFonts w:hint="eastAsia"/>
        </w:rPr>
        <w:t>按支出项目类别划分：基本支出</w:t>
      </w:r>
      <w:r>
        <w:rPr>
          <w:rFonts w:hint="eastAsia"/>
          <w:u w:val="single"/>
        </w:rPr>
        <w:t>713.51</w:t>
      </w:r>
      <w:r>
        <w:rPr>
          <w:rFonts w:hint="eastAsia"/>
        </w:rPr>
        <w:t>万元</w:t>
      </w:r>
      <w:r>
        <w:rPr>
          <w:rFonts w:hint="eastAsia"/>
          <w:lang w:eastAsia="zh-CN"/>
        </w:rPr>
        <w:t>，</w:t>
      </w:r>
      <w:r>
        <w:rPr>
          <w:rFonts w:hint="eastAsia"/>
        </w:rPr>
        <w:t>较上年预算安排</w:t>
      </w:r>
      <w:r>
        <w:rPr>
          <w:rStyle w:val="13"/>
          <w:rFonts w:hint="eastAsia" w:ascii="仿宋" w:hAnsi="仿宋" w:eastAsia="仿宋"/>
          <w:lang w:val="en-US" w:eastAsia="zh-CN"/>
        </w:rPr>
        <w:t>增加</w:t>
      </w:r>
      <w:r>
        <w:rPr>
          <w:rFonts w:hint="eastAsia" w:ascii="仿宋" w:hAnsi="仿宋" w:eastAsia="仿宋"/>
          <w:kern w:val="0"/>
          <w:u w:val="single"/>
          <w:lang w:val="en-US" w:eastAsia="zh-CN"/>
        </w:rPr>
        <w:t>16.15</w:t>
      </w:r>
      <w:r>
        <w:rPr>
          <w:rFonts w:hint="eastAsia"/>
        </w:rPr>
        <w:t>万元</w:t>
      </w:r>
      <w:r>
        <w:rPr>
          <w:rFonts w:hint="eastAsia"/>
          <w:lang w:eastAsia="zh-CN"/>
        </w:rPr>
        <w:t>；</w:t>
      </w:r>
      <w:r>
        <w:rPr>
          <w:rFonts w:hint="eastAsia"/>
        </w:rPr>
        <w:t>项目支出</w:t>
      </w:r>
      <w:r>
        <w:rPr>
          <w:rFonts w:hint="eastAsia"/>
          <w:u w:val="single"/>
        </w:rPr>
        <w:t>0.00</w:t>
      </w:r>
      <w:r>
        <w:rPr>
          <w:rFonts w:hint="eastAsia"/>
        </w:rPr>
        <w:t>万元</w:t>
      </w:r>
      <w:r>
        <w:rPr>
          <w:rFonts w:hint="eastAsia"/>
          <w:lang w:eastAsia="zh-CN"/>
        </w:rPr>
        <w:t>，</w:t>
      </w:r>
      <w:r>
        <w:rPr>
          <w:rFonts w:hint="eastAsia"/>
        </w:rPr>
        <w:t>较上年预算安排</w:t>
      </w:r>
      <w:r>
        <w:rPr>
          <w:rStyle w:val="13"/>
          <w:rFonts w:ascii="仿宋" w:hAnsi="仿宋" w:eastAsia="仿宋"/>
        </w:rPr>
        <w:t>减少</w:t>
      </w:r>
      <w:r>
        <w:rPr>
          <w:rFonts w:hint="eastAsia" w:ascii="仿宋" w:hAnsi="仿宋" w:eastAsia="仿宋"/>
          <w:kern w:val="0"/>
          <w:u w:val="single"/>
          <w:lang w:val="en-US" w:eastAsia="zh-CN"/>
        </w:rPr>
        <w:t>22.94</w:t>
      </w:r>
      <w:r>
        <w:rPr>
          <w:rFonts w:hint="eastAsia"/>
        </w:rPr>
        <w:t>万元。</w:t>
      </w:r>
    </w:p>
    <w:p w14:paraId="5491E2C4">
      <w:pPr>
        <w:pStyle w:val="19"/>
        <w:bidi w:val="0"/>
        <w:rPr>
          <w:rFonts w:hint="eastAsia"/>
        </w:rPr>
      </w:pPr>
      <w:r>
        <w:rPr>
          <w:rFonts w:hint="eastAsia"/>
        </w:rPr>
        <w:t>按支出功能科目划分：教育支出</w:t>
      </w:r>
      <w:r>
        <w:rPr>
          <w:rFonts w:hint="eastAsia"/>
          <w:u w:val="single"/>
        </w:rPr>
        <w:t>659.48</w:t>
      </w:r>
      <w:r>
        <w:rPr>
          <w:rFonts w:hint="eastAsia"/>
        </w:rPr>
        <w:t>万元，较上年预算安排</w:t>
      </w:r>
      <w:r>
        <w:rPr>
          <w:rStyle w:val="13"/>
          <w:rFonts w:hint="eastAsia" w:ascii="仿宋" w:hAnsi="仿宋" w:eastAsia="仿宋"/>
        </w:rPr>
        <w:t>减少</w:t>
      </w:r>
      <w:r>
        <w:rPr>
          <w:rStyle w:val="13"/>
          <w:rFonts w:hint="eastAsia" w:ascii="仿宋" w:hAnsi="仿宋" w:eastAsia="仿宋"/>
          <w:u w:val="single"/>
          <w:lang w:val="en-US" w:eastAsia="zh-CN"/>
        </w:rPr>
        <w:t>15.03</w:t>
      </w:r>
      <w:r>
        <w:rPr>
          <w:rFonts w:hint="eastAsia"/>
        </w:rPr>
        <w:t>万元；社会保障和就业支出</w:t>
      </w:r>
      <w:r>
        <w:rPr>
          <w:rFonts w:hint="eastAsia"/>
          <w:u w:val="single"/>
        </w:rPr>
        <w:t>54.03</w:t>
      </w:r>
      <w:r>
        <w:rPr>
          <w:rFonts w:hint="eastAsia"/>
        </w:rPr>
        <w:t>万元，较上年预算安排</w:t>
      </w:r>
      <w:r>
        <w:rPr>
          <w:rStyle w:val="13"/>
          <w:rFonts w:hint="eastAsia" w:ascii="仿宋" w:hAnsi="仿宋" w:eastAsia="仿宋"/>
        </w:rPr>
        <w:t>减少</w:t>
      </w:r>
      <w:r>
        <w:rPr>
          <w:rStyle w:val="13"/>
          <w:rFonts w:hint="eastAsia" w:ascii="仿宋" w:hAnsi="仿宋" w:eastAsia="仿宋"/>
          <w:u w:val="single"/>
          <w:lang w:val="en-US" w:eastAsia="zh-CN"/>
        </w:rPr>
        <w:t>1.12</w:t>
      </w:r>
      <w:r>
        <w:rPr>
          <w:rFonts w:hint="eastAsia"/>
        </w:rPr>
        <w:t>万元。</w:t>
      </w:r>
    </w:p>
    <w:p w14:paraId="537AE19A">
      <w:pPr>
        <w:pStyle w:val="19"/>
        <w:bidi w:val="0"/>
        <w:rPr>
          <w:rFonts w:hint="eastAsia"/>
        </w:rPr>
      </w:pPr>
      <w:r>
        <w:rPr>
          <w:rFonts w:hint="eastAsia"/>
        </w:rPr>
        <w:t>按支出经济分类划分：工资福利支出</w:t>
      </w:r>
      <w:r>
        <w:rPr>
          <w:rFonts w:hint="eastAsia"/>
          <w:u w:val="single"/>
        </w:rPr>
        <w:t>552.05</w:t>
      </w:r>
      <w:r>
        <w:rPr>
          <w:rFonts w:hint="eastAsia"/>
        </w:rPr>
        <w:t>万元，较上年预算安排</w:t>
      </w:r>
      <w:r>
        <w:rPr>
          <w:rStyle w:val="13"/>
          <w:rFonts w:hint="eastAsia" w:ascii="仿宋" w:hAnsi="仿宋" w:eastAsia="仿宋"/>
        </w:rPr>
        <w:t>减少</w:t>
      </w:r>
      <w:r>
        <w:rPr>
          <w:rStyle w:val="13"/>
          <w:rFonts w:hint="eastAsia" w:ascii="仿宋" w:hAnsi="仿宋" w:eastAsia="仿宋"/>
          <w:u w:val="single"/>
          <w:lang w:val="en-US" w:eastAsia="zh-CN"/>
        </w:rPr>
        <w:t>5.12</w:t>
      </w:r>
      <w:r>
        <w:rPr>
          <w:rFonts w:hint="eastAsia"/>
        </w:rPr>
        <w:t>万元；商品和服务支出</w:t>
      </w:r>
      <w:r>
        <w:rPr>
          <w:rFonts w:hint="eastAsia"/>
          <w:u w:val="single"/>
        </w:rPr>
        <w:t>99.72</w:t>
      </w:r>
      <w:r>
        <w:rPr>
          <w:rFonts w:hint="eastAsia"/>
        </w:rPr>
        <w:t>万元，较上年预算安排</w:t>
      </w:r>
      <w:r>
        <w:rPr>
          <w:rStyle w:val="13"/>
          <w:rFonts w:hint="eastAsia" w:ascii="仿宋" w:hAnsi="仿宋" w:eastAsia="仿宋"/>
        </w:rPr>
        <w:t>增加</w:t>
      </w:r>
      <w:r>
        <w:rPr>
          <w:rStyle w:val="13"/>
          <w:rFonts w:hint="eastAsia" w:ascii="仿宋" w:hAnsi="仿宋" w:eastAsia="仿宋"/>
          <w:u w:val="single"/>
          <w:lang w:val="en-US" w:eastAsia="zh-CN"/>
        </w:rPr>
        <w:t>11.27</w:t>
      </w:r>
      <w:r>
        <w:rPr>
          <w:rFonts w:hint="eastAsia"/>
        </w:rPr>
        <w:t>万元；对个人和家庭的补助</w:t>
      </w:r>
      <w:r>
        <w:rPr>
          <w:rFonts w:hint="eastAsia"/>
          <w:u w:val="single"/>
        </w:rPr>
        <w:t>60.49</w:t>
      </w:r>
      <w:r>
        <w:rPr>
          <w:rFonts w:hint="eastAsia"/>
        </w:rPr>
        <w:t>万元，较上年预算安排</w:t>
      </w:r>
      <w:r>
        <w:rPr>
          <w:rStyle w:val="13"/>
          <w:rFonts w:hint="eastAsia" w:ascii="仿宋" w:hAnsi="仿宋" w:eastAsia="仿宋"/>
        </w:rPr>
        <w:t>增加</w:t>
      </w:r>
      <w:r>
        <w:rPr>
          <w:rStyle w:val="13"/>
          <w:rFonts w:hint="eastAsia" w:ascii="仿宋" w:hAnsi="仿宋" w:eastAsia="仿宋"/>
          <w:u w:val="single"/>
          <w:lang w:val="en-US" w:eastAsia="zh-CN"/>
        </w:rPr>
        <w:t>0.06</w:t>
      </w:r>
      <w:r>
        <w:rPr>
          <w:rFonts w:hint="eastAsia"/>
        </w:rPr>
        <w:t>万元；资本性支出</w:t>
      </w:r>
      <w:r>
        <w:rPr>
          <w:rFonts w:hint="eastAsia"/>
          <w:u w:val="single"/>
        </w:rPr>
        <w:t>1.25</w:t>
      </w:r>
      <w:r>
        <w:rPr>
          <w:rFonts w:hint="eastAsia"/>
        </w:rPr>
        <w:t>万元，较上年预算安排</w:t>
      </w:r>
      <w:r>
        <w:rPr>
          <w:rStyle w:val="13"/>
          <w:rFonts w:hint="eastAsia" w:ascii="仿宋" w:hAnsi="仿宋" w:eastAsia="仿宋"/>
        </w:rPr>
        <w:t>增加</w:t>
      </w:r>
      <w:r>
        <w:rPr>
          <w:rStyle w:val="13"/>
          <w:rFonts w:hint="eastAsia" w:ascii="仿宋" w:hAnsi="仿宋" w:eastAsia="仿宋"/>
          <w:u w:val="single"/>
          <w:lang w:val="en-US" w:eastAsia="zh-CN"/>
        </w:rPr>
        <w:t>0.57</w:t>
      </w:r>
      <w:r>
        <w:rPr>
          <w:rFonts w:hint="eastAsia"/>
        </w:rPr>
        <w:t>万元。</w:t>
      </w:r>
    </w:p>
    <w:p w14:paraId="7B0226C5">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19098A7D">
      <w:pPr>
        <w:pStyle w:val="19"/>
        <w:bidi w:val="0"/>
        <w:rPr>
          <w:rFonts w:hint="eastAsia"/>
        </w:rPr>
      </w:pPr>
      <w:r>
        <w:rPr>
          <w:rFonts w:hint="eastAsia"/>
          <w:lang w:eastAsia="zh-CN"/>
        </w:rPr>
        <w:t>2026</w:t>
      </w:r>
      <w:r>
        <w:rPr>
          <w:rFonts w:hint="eastAsia"/>
        </w:rPr>
        <w:t>年</w:t>
      </w:r>
      <w:r>
        <w:rPr>
          <w:rFonts w:hint="eastAsia"/>
          <w:lang w:eastAsia="zh-CN"/>
        </w:rPr>
        <w:t>九江市中小学校服务保障中心</w:t>
      </w:r>
      <w:r>
        <w:rPr>
          <w:rFonts w:hint="eastAsia"/>
        </w:rPr>
        <w:t>财政拨款支出预算总额</w:t>
      </w:r>
      <w:r>
        <w:rPr>
          <w:rFonts w:hint="eastAsia"/>
          <w:u w:val="single"/>
        </w:rPr>
        <w:t>636.14</w:t>
      </w:r>
      <w:r>
        <w:rPr>
          <w:rFonts w:hint="eastAsia"/>
        </w:rPr>
        <w:t>万元,较上年预算安排</w:t>
      </w:r>
      <w:r>
        <w:rPr>
          <w:rStyle w:val="13"/>
          <w:rFonts w:ascii="仿宋" w:hAnsi="仿宋" w:eastAsia="仿宋"/>
        </w:rPr>
        <w:t>减少</w:t>
      </w:r>
      <w:r>
        <w:rPr>
          <w:rStyle w:val="13"/>
          <w:rFonts w:hint="eastAsia" w:ascii="仿宋" w:hAnsi="仿宋" w:eastAsia="仿宋"/>
          <w:u w:val="single"/>
          <w:lang w:val="en-US" w:eastAsia="zh-CN"/>
        </w:rPr>
        <w:t>43.52</w:t>
      </w:r>
      <w:r>
        <w:rPr>
          <w:rFonts w:hint="eastAsia"/>
        </w:rPr>
        <w:t>万元。</w:t>
      </w:r>
    </w:p>
    <w:p w14:paraId="38849E56">
      <w:pPr>
        <w:pStyle w:val="19"/>
        <w:bidi w:val="0"/>
        <w:rPr>
          <w:rFonts w:hint="eastAsia"/>
        </w:rPr>
      </w:pPr>
      <w:r>
        <w:rPr>
          <w:rFonts w:hint="eastAsia"/>
        </w:rPr>
        <w:t>按支出功能科目划分：教育支出</w:t>
      </w:r>
      <w:r>
        <w:rPr>
          <w:rFonts w:hint="eastAsia"/>
          <w:u w:val="single"/>
        </w:rPr>
        <w:t>582.11</w:t>
      </w:r>
      <w:r>
        <w:rPr>
          <w:rFonts w:hint="eastAsia"/>
        </w:rPr>
        <w:t>万元，社会保障和就业支出</w:t>
      </w:r>
      <w:r>
        <w:rPr>
          <w:rFonts w:hint="eastAsia"/>
          <w:u w:val="single"/>
        </w:rPr>
        <w:t>54.03</w:t>
      </w:r>
      <w:r>
        <w:rPr>
          <w:rFonts w:hint="eastAsia"/>
        </w:rPr>
        <w:t>万元。</w:t>
      </w:r>
    </w:p>
    <w:p w14:paraId="790E5D38">
      <w:pPr>
        <w:pStyle w:val="19"/>
        <w:bidi w:val="0"/>
        <w:rPr>
          <w:rFonts w:hint="eastAsia"/>
        </w:rPr>
      </w:pPr>
      <w:r>
        <w:rPr>
          <w:rFonts w:hint="eastAsia"/>
        </w:rPr>
        <w:t>按支出项目类别划分：基本支出</w:t>
      </w:r>
      <w:r>
        <w:rPr>
          <w:rFonts w:hint="eastAsia"/>
          <w:u w:val="single"/>
        </w:rPr>
        <w:t>636.14</w:t>
      </w:r>
      <w:r>
        <w:rPr>
          <w:rFonts w:hint="eastAsia"/>
        </w:rPr>
        <w:t>万元,项目支出</w:t>
      </w:r>
      <w:r>
        <w:rPr>
          <w:rFonts w:hint="eastAsia"/>
          <w:u w:val="single"/>
        </w:rPr>
        <w:t>0.00</w:t>
      </w:r>
      <w:r>
        <w:rPr>
          <w:rFonts w:hint="eastAsia"/>
        </w:rPr>
        <w:t>万元。</w:t>
      </w:r>
    </w:p>
    <w:p w14:paraId="55D05D10">
      <w:pPr>
        <w:pStyle w:val="19"/>
        <w:bidi w:val="0"/>
        <w:rPr>
          <w:rFonts w:hint="eastAsia"/>
        </w:rPr>
      </w:pPr>
      <w:r>
        <w:rPr>
          <w:rFonts w:hint="eastAsia"/>
        </w:rPr>
        <w:t>按支</w:t>
      </w:r>
      <w:r>
        <w:rPr>
          <w:rFonts w:hint="eastAsia"/>
          <w:lang w:val="en-US" w:eastAsia="zh-CN"/>
        </w:rPr>
        <w:t>出经济分类</w:t>
      </w:r>
      <w:r>
        <w:rPr>
          <w:rFonts w:hint="eastAsia"/>
        </w:rPr>
        <w:t>划分：工资福利支出</w:t>
      </w:r>
      <w:r>
        <w:rPr>
          <w:rFonts w:hint="eastAsia"/>
          <w:u w:val="single"/>
        </w:rPr>
        <w:t>536.96</w:t>
      </w:r>
      <w:r>
        <w:rPr>
          <w:rFonts w:hint="eastAsia"/>
        </w:rPr>
        <w:t>万元，商品和服务支出</w:t>
      </w:r>
      <w:r>
        <w:rPr>
          <w:rFonts w:hint="eastAsia"/>
          <w:u w:val="single"/>
        </w:rPr>
        <w:t>38.69</w:t>
      </w:r>
      <w:r>
        <w:rPr>
          <w:rFonts w:hint="eastAsia"/>
        </w:rPr>
        <w:t>万元（其中委托业务费1.48万元），对个人和家庭的补助</w:t>
      </w:r>
      <w:r>
        <w:rPr>
          <w:rFonts w:hint="eastAsia"/>
          <w:u w:val="single"/>
        </w:rPr>
        <w:t>60.49</w:t>
      </w:r>
      <w:r>
        <w:rPr>
          <w:rFonts w:hint="eastAsia"/>
        </w:rPr>
        <w:t>万元。</w:t>
      </w:r>
    </w:p>
    <w:p w14:paraId="3ACED628">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1B36DF4">
      <w:pPr>
        <w:pStyle w:val="19"/>
        <w:bidi w:val="0"/>
        <w:rPr>
          <w:rFonts w:hint="eastAsia"/>
          <w:lang w:eastAsia="zh-CN"/>
        </w:rPr>
      </w:pPr>
      <w:r>
        <w:rPr>
          <w:rFonts w:hint="eastAsia"/>
          <w:lang w:eastAsia="zh-CN"/>
        </w:rPr>
        <w:t>2026</w:t>
      </w:r>
      <w:r>
        <w:rPr>
          <w:rFonts w:hint="eastAsia"/>
        </w:rPr>
        <w:t>年</w:t>
      </w:r>
      <w:r>
        <w:rPr>
          <w:rFonts w:hint="eastAsia"/>
          <w:lang w:eastAsia="zh-CN"/>
        </w:rPr>
        <w:t>九江市中小学校服务保障中心政府性基金支出预算总额</w:t>
      </w:r>
      <w:r>
        <w:rPr>
          <w:rStyle w:val="13"/>
          <w:rFonts w:hint="eastAsia" w:ascii="仿宋" w:hAnsi="仿宋" w:eastAsia="仿宋"/>
          <w:sz w:val="32"/>
          <w:szCs w:val="32"/>
          <w:u w:val="single"/>
          <w:lang w:val="en-US" w:eastAsia="zh-CN"/>
        </w:rPr>
        <w:t>0</w:t>
      </w:r>
      <w:r>
        <w:rPr>
          <w:rFonts w:hint="eastAsia"/>
          <w:lang w:eastAsia="zh-CN"/>
        </w:rPr>
        <w:t>万元,较上年预算安排增加（减少）</w:t>
      </w:r>
      <w:r>
        <w:rPr>
          <w:rStyle w:val="13"/>
          <w:rFonts w:hint="eastAsia" w:ascii="仿宋" w:hAnsi="仿宋" w:eastAsia="仿宋"/>
          <w:sz w:val="32"/>
          <w:szCs w:val="32"/>
          <w:u w:val="single"/>
          <w:lang w:val="en-US" w:eastAsia="zh-CN"/>
        </w:rPr>
        <w:t>0</w:t>
      </w:r>
      <w:r>
        <w:rPr>
          <w:rFonts w:hint="eastAsia"/>
          <w:lang w:eastAsia="zh-CN"/>
        </w:rPr>
        <w:t>万元。</w:t>
      </w:r>
    </w:p>
    <w:p w14:paraId="32070AAB">
      <w:pPr>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按支出项目类别划分：本单位没有使用政府性基金预算拨款安排的支出。</w:t>
      </w:r>
    </w:p>
    <w:p w14:paraId="1141A1DD">
      <w:pPr>
        <w:ind w:firstLine="640" w:firstLineChars="200"/>
        <w:rPr>
          <w:rFonts w:hint="eastAsia" w:ascii="仿宋_GB2312" w:hAnsi="仿宋_GB2312" w:eastAsia="仿宋_GB2312" w:cstheme="minorBidi"/>
          <w:kern w:val="2"/>
          <w:sz w:val="32"/>
          <w:szCs w:val="32"/>
          <w:lang w:val="en-US" w:eastAsia="zh-CN" w:bidi="ar-SA"/>
        </w:rPr>
      </w:pPr>
    </w:p>
    <w:p w14:paraId="4331B926">
      <w:pPr>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按支出经济分类划分：本单位没有使用政府性基金预算拨款安排的支出。</w:t>
      </w:r>
    </w:p>
    <w:p w14:paraId="77F9E0D6">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39F978E">
      <w:pPr>
        <w:pStyle w:val="19"/>
        <w:bidi w:val="0"/>
        <w:rPr>
          <w:rFonts w:hint="eastAsia"/>
        </w:rPr>
      </w:pPr>
      <w:r>
        <w:rPr>
          <w:rFonts w:hint="eastAsia"/>
          <w:lang w:eastAsia="zh-CN"/>
        </w:rPr>
        <w:t>2026</w:t>
      </w:r>
      <w:r>
        <w:rPr>
          <w:rFonts w:hint="eastAsia"/>
        </w:rPr>
        <w:t>年</w:t>
      </w:r>
      <w:r>
        <w:rPr>
          <w:rFonts w:hint="eastAsia"/>
          <w:lang w:eastAsia="zh-CN"/>
        </w:rPr>
        <w:t>九江市中小学校服务保障中心</w:t>
      </w:r>
      <w:r>
        <w:rPr>
          <w:rFonts w:hint="eastAsia"/>
        </w:rPr>
        <w:t>国有资本经营支出预算</w:t>
      </w:r>
      <w:r>
        <w:rPr>
          <w:rFonts w:hint="eastAsia"/>
          <w:lang w:eastAsia="zh-CN"/>
        </w:rPr>
        <w:t>总额</w:t>
      </w:r>
      <w:r>
        <w:rPr>
          <w:rFonts w:hint="eastAsia"/>
        </w:rPr>
        <w:t>为</w:t>
      </w:r>
      <w:r>
        <w:rPr>
          <w:rStyle w:val="13"/>
          <w:rFonts w:hint="eastAsia" w:ascii="仿宋" w:hAnsi="仿宋" w:eastAsia="仿宋"/>
          <w:sz w:val="32"/>
          <w:szCs w:val="32"/>
          <w:u w:val="single"/>
          <w:lang w:val="en-US" w:eastAsia="zh-CN"/>
        </w:rPr>
        <w:t>0</w:t>
      </w:r>
      <w:r>
        <w:rPr>
          <w:rFonts w:hint="eastAsia"/>
        </w:rPr>
        <w:t>万元,较上年预算安排增加（减少）</w:t>
      </w:r>
      <w:r>
        <w:rPr>
          <w:rStyle w:val="13"/>
          <w:rFonts w:hint="eastAsia" w:ascii="仿宋" w:hAnsi="仿宋" w:eastAsia="仿宋"/>
          <w:sz w:val="32"/>
          <w:szCs w:val="32"/>
          <w:u w:val="single"/>
          <w:lang w:val="en-US" w:eastAsia="zh-CN"/>
        </w:rPr>
        <w:t>0</w:t>
      </w:r>
      <w:r>
        <w:rPr>
          <w:rFonts w:hint="eastAsia"/>
        </w:rPr>
        <w:t>万元。</w:t>
      </w:r>
    </w:p>
    <w:p w14:paraId="47C85AA0">
      <w:pPr>
        <w:spacing w:line="560" w:lineRule="exact"/>
        <w:ind w:firstLine="640" w:firstLineChars="200"/>
        <w:rPr>
          <w:rStyle w:val="13"/>
          <w:rFonts w:ascii="仿宋" w:hAnsi="仿宋" w:eastAsia="仿宋"/>
        </w:rPr>
      </w:pPr>
      <w:r>
        <w:rPr>
          <w:rStyle w:val="13"/>
          <w:rFonts w:hint="eastAsia" w:ascii="仿宋" w:hAnsi="仿宋" w:eastAsia="仿宋" w:cs="Times New Roman"/>
          <w:sz w:val="32"/>
          <w:szCs w:val="32"/>
        </w:rPr>
        <w:t>按支出项目类别划分：本单位没有使用国有资本经营预算拨款安排的支出</w:t>
      </w:r>
      <w:r>
        <w:rPr>
          <w:rStyle w:val="13"/>
          <w:rFonts w:hint="eastAsia" w:ascii="仿宋" w:hAnsi="仿宋" w:eastAsia="仿宋" w:cs="Times New Roman"/>
          <w:sz w:val="32"/>
          <w:szCs w:val="32"/>
          <w:lang w:eastAsia="zh-CN"/>
        </w:rPr>
        <w:t>。</w:t>
      </w:r>
    </w:p>
    <w:p w14:paraId="72F93196">
      <w:pPr>
        <w:spacing w:line="560" w:lineRule="exact"/>
        <w:ind w:firstLine="640" w:firstLineChars="200"/>
        <w:rPr>
          <w:rStyle w:val="13"/>
          <w:rFonts w:ascii="仿宋" w:hAnsi="仿宋" w:eastAsia="仿宋"/>
        </w:rPr>
      </w:pPr>
      <w:r>
        <w:rPr>
          <w:rStyle w:val="13"/>
          <w:rFonts w:hint="eastAsia" w:ascii="仿宋" w:hAnsi="仿宋" w:eastAsia="仿宋" w:cs="Times New Roman"/>
          <w:sz w:val="32"/>
          <w:szCs w:val="32"/>
        </w:rPr>
        <w:t>按支</w:t>
      </w:r>
      <w:r>
        <w:rPr>
          <w:rStyle w:val="13"/>
          <w:rFonts w:hint="eastAsia" w:ascii="仿宋" w:hAnsi="仿宋" w:eastAsia="仿宋" w:cs="Times New Roman"/>
          <w:sz w:val="32"/>
          <w:szCs w:val="32"/>
          <w:lang w:val="en-US" w:eastAsia="zh-CN"/>
        </w:rPr>
        <w:t>出经济分类</w:t>
      </w:r>
      <w:r>
        <w:rPr>
          <w:rStyle w:val="13"/>
          <w:rFonts w:hint="eastAsia" w:ascii="仿宋" w:hAnsi="仿宋" w:eastAsia="仿宋" w:cs="Times New Roman"/>
          <w:sz w:val="32"/>
          <w:szCs w:val="32"/>
        </w:rPr>
        <w:t>划分：本单位没有使用国有资本经营预算拨款安排的支出</w:t>
      </w:r>
      <w:r>
        <w:rPr>
          <w:rStyle w:val="13"/>
          <w:rFonts w:hint="eastAsia" w:ascii="仿宋" w:hAnsi="仿宋" w:eastAsia="仿宋" w:cs="Times New Roman"/>
          <w:sz w:val="32"/>
          <w:szCs w:val="32"/>
          <w:lang w:eastAsia="zh-CN"/>
        </w:rPr>
        <w:t>。</w:t>
      </w:r>
    </w:p>
    <w:p w14:paraId="27B762F2">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2330A4C">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ascii="仿宋" w:hAnsi="仿宋" w:eastAsia="仿宋"/>
          <w:sz w:val="32"/>
          <w:szCs w:val="30"/>
          <w:u w:val="single"/>
          <w:lang w:val="en-US" w:eastAsia="zh-CN"/>
        </w:rPr>
        <w:t>0</w:t>
      </w:r>
      <w:r>
        <w:rPr>
          <w:rFonts w:hint="eastAsia"/>
        </w:rPr>
        <w:t>万元，比2025年预算增加（减少）</w:t>
      </w:r>
      <w:r>
        <w:rPr>
          <w:rFonts w:hint="eastAsia" w:ascii="仿宋" w:hAnsi="仿宋" w:eastAsia="仿宋"/>
          <w:sz w:val="32"/>
          <w:szCs w:val="30"/>
          <w:u w:val="single"/>
          <w:lang w:val="en-US" w:eastAsia="zh-CN"/>
        </w:rPr>
        <w:t>0</w:t>
      </w:r>
      <w:r>
        <w:rPr>
          <w:rFonts w:hint="eastAsia"/>
        </w:rPr>
        <w:t>万元，增长（下降）</w:t>
      </w:r>
      <w:r>
        <w:rPr>
          <w:rFonts w:hint="eastAsia" w:ascii="仿宋" w:hAnsi="仿宋" w:eastAsia="仿宋"/>
          <w:sz w:val="32"/>
          <w:szCs w:val="30"/>
          <w:u w:val="single"/>
          <w:lang w:val="en-US" w:eastAsia="zh-CN"/>
        </w:rPr>
        <w:t>0</w:t>
      </w:r>
      <w:r>
        <w:rPr>
          <w:rFonts w:hint="eastAsia"/>
        </w:rPr>
        <w:t>%。</w:t>
      </w:r>
    </w:p>
    <w:p w14:paraId="6849309B">
      <w:pPr>
        <w:spacing w:line="560" w:lineRule="exact"/>
        <w:ind w:firstLine="640" w:firstLineChars="200"/>
        <w:rPr>
          <w:rStyle w:val="13"/>
          <w:rFonts w:hint="eastAsia" w:ascii="仿宋" w:hAnsi="仿宋" w:eastAsia="仿宋" w:cs="Times New Roman"/>
          <w:sz w:val="32"/>
          <w:szCs w:val="32"/>
          <w:lang w:eastAsia="zh-CN"/>
        </w:rPr>
      </w:pPr>
      <w:r>
        <w:rPr>
          <w:rStyle w:val="13"/>
          <w:rFonts w:hint="eastAsia" w:ascii="仿宋" w:hAnsi="仿宋" w:eastAsia="仿宋" w:cs="Times New Roman"/>
          <w:sz w:val="32"/>
          <w:szCs w:val="32"/>
        </w:rPr>
        <w:t>本单位非行政参公单位</w:t>
      </w:r>
      <w:r>
        <w:rPr>
          <w:rStyle w:val="13"/>
          <w:rFonts w:hint="eastAsia" w:ascii="仿宋" w:hAnsi="仿宋" w:eastAsia="仿宋" w:cs="Times New Roman"/>
          <w:sz w:val="32"/>
          <w:szCs w:val="32"/>
          <w:lang w:eastAsia="zh-CN"/>
        </w:rPr>
        <w:t>，</w:t>
      </w:r>
      <w:r>
        <w:rPr>
          <w:rStyle w:val="13"/>
          <w:rFonts w:hint="eastAsia" w:ascii="仿宋" w:hAnsi="仿宋" w:eastAsia="仿宋" w:cs="Times New Roman"/>
          <w:sz w:val="32"/>
          <w:szCs w:val="32"/>
        </w:rPr>
        <w:t>本单位是九江市教育局的</w:t>
      </w:r>
      <w:r>
        <w:rPr>
          <w:rStyle w:val="13"/>
          <w:rFonts w:hint="eastAsia" w:ascii="仿宋" w:hAnsi="仿宋" w:eastAsia="仿宋" w:cs="Times New Roman"/>
          <w:sz w:val="32"/>
          <w:szCs w:val="32"/>
          <w:lang w:val="en-US" w:eastAsia="zh-CN"/>
        </w:rPr>
        <w:t>下属二级</w:t>
      </w:r>
      <w:r>
        <w:rPr>
          <w:rStyle w:val="13"/>
          <w:rFonts w:hint="eastAsia" w:ascii="仿宋" w:hAnsi="仿宋" w:eastAsia="仿宋" w:cs="Times New Roman"/>
          <w:sz w:val="32"/>
          <w:szCs w:val="32"/>
        </w:rPr>
        <w:t>事业单位，无机关运行经费</w:t>
      </w:r>
      <w:r>
        <w:rPr>
          <w:rStyle w:val="13"/>
          <w:rFonts w:hint="eastAsia" w:ascii="仿宋" w:hAnsi="仿宋" w:eastAsia="仿宋" w:cs="Times New Roman"/>
          <w:sz w:val="32"/>
          <w:szCs w:val="32"/>
          <w:lang w:eastAsia="zh-CN"/>
        </w:rPr>
        <w:t>。</w:t>
      </w:r>
    </w:p>
    <w:p w14:paraId="562DBB9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FD7FDD6">
      <w:pPr>
        <w:pStyle w:val="19"/>
        <w:bidi w:val="0"/>
        <w:rPr>
          <w:rFonts w:hint="eastAsia"/>
          <w:lang w:eastAsia="zh-CN"/>
        </w:rPr>
      </w:pPr>
      <w:r>
        <w:rPr>
          <w:rFonts w:hint="eastAsia"/>
          <w:lang w:eastAsia="zh-CN"/>
        </w:rPr>
        <w:t>2026年政府采购总额</w:t>
      </w:r>
      <w:r>
        <w:rPr>
          <w:rFonts w:hint="eastAsia"/>
          <w:u w:val="single"/>
          <w:lang w:eastAsia="zh-CN"/>
        </w:rPr>
        <w:t>1.25</w:t>
      </w:r>
      <w:r>
        <w:rPr>
          <w:rFonts w:hint="eastAsia"/>
          <w:lang w:val="en-US" w:eastAsia="zh-CN"/>
        </w:rPr>
        <w:t xml:space="preserve"> </w:t>
      </w:r>
      <w:r>
        <w:rPr>
          <w:rFonts w:hint="eastAsia"/>
          <w:lang w:eastAsia="zh-CN"/>
        </w:rPr>
        <w:t xml:space="preserve">万元,其中: 政府采购货物预算  </w:t>
      </w:r>
      <w:r>
        <w:rPr>
          <w:rFonts w:hint="eastAsia"/>
          <w:u w:val="single"/>
          <w:lang w:eastAsia="zh-CN"/>
        </w:rPr>
        <w:t>1.25</w:t>
      </w:r>
      <w:r>
        <w:rPr>
          <w:rFonts w:hint="eastAsia"/>
          <w:lang w:eastAsia="zh-CN"/>
        </w:rPr>
        <w:t xml:space="preserve"> 万元, 政府采购工程预算</w:t>
      </w:r>
      <w:r>
        <w:rPr>
          <w:rFonts w:hint="eastAsia"/>
          <w:u w:val="single"/>
          <w:lang w:eastAsia="zh-CN"/>
        </w:rPr>
        <w:t xml:space="preserve"> 0.00</w:t>
      </w:r>
      <w:r>
        <w:rPr>
          <w:rFonts w:hint="eastAsia"/>
          <w:lang w:val="en-US" w:eastAsia="zh-CN"/>
        </w:rPr>
        <w:t xml:space="preserve"> </w:t>
      </w:r>
      <w:r>
        <w:rPr>
          <w:rFonts w:hint="eastAsia"/>
          <w:lang w:eastAsia="zh-CN"/>
        </w:rPr>
        <w:t>万元, 政府采购服务预算</w:t>
      </w:r>
      <w:r>
        <w:rPr>
          <w:rFonts w:hint="eastAsia"/>
          <w:u w:val="single"/>
          <w:lang w:eastAsia="zh-CN"/>
        </w:rPr>
        <w:t xml:space="preserve"> 0.00 </w:t>
      </w:r>
      <w:r>
        <w:rPr>
          <w:rFonts w:hint="eastAsia"/>
          <w:lang w:eastAsia="zh-CN"/>
        </w:rPr>
        <w:t>万元。</w:t>
      </w:r>
    </w:p>
    <w:p w14:paraId="36B37F78">
      <w:pPr>
        <w:pStyle w:val="19"/>
        <w:bidi w:val="0"/>
        <w:ind w:left="0" w:leftChars="0" w:firstLine="640" w:firstLineChars="200"/>
        <w:rPr>
          <w:rFonts w:hint="eastAsia"/>
          <w:lang w:eastAsia="zh-CN"/>
        </w:rPr>
      </w:pPr>
    </w:p>
    <w:p w14:paraId="0FA7B2F4">
      <w:pPr>
        <w:pStyle w:val="19"/>
        <w:bidi w:val="0"/>
        <w:rPr>
          <w:rFonts w:hint="eastAsia"/>
          <w:lang w:eastAsia="zh-CN"/>
        </w:rPr>
      </w:pPr>
    </w:p>
    <w:p w14:paraId="43296FA2">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B9BA6AA">
      <w:pPr>
        <w:pStyle w:val="19"/>
        <w:bidi w:val="0"/>
        <w:rPr>
          <w:rFonts w:hint="eastAsia"/>
          <w:lang w:eastAsia="zh-CN"/>
        </w:rPr>
      </w:pPr>
      <w:r>
        <w:rPr>
          <w:rFonts w:hint="eastAsia"/>
          <w:lang w:eastAsia="zh-CN"/>
        </w:rPr>
        <w:t>截至2025年</w:t>
      </w:r>
      <w:r>
        <w:rPr>
          <w:rFonts w:hint="eastAsia"/>
          <w:lang w:val="en-US" w:eastAsia="zh-CN"/>
        </w:rPr>
        <w:t>8</w:t>
      </w:r>
      <w:r>
        <w:rPr>
          <w:rFonts w:hint="eastAsia"/>
          <w:lang w:eastAsia="zh-CN"/>
        </w:rPr>
        <w:t xml:space="preserve">月31日, </w:t>
      </w:r>
      <w:r>
        <w:rPr>
          <w:rFonts w:hint="eastAsia"/>
          <w:lang w:val="en-US" w:eastAsia="zh-CN"/>
        </w:rPr>
        <w:t>单位</w:t>
      </w:r>
      <w:r>
        <w:rPr>
          <w:rFonts w:hint="eastAsia"/>
          <w:lang w:eastAsia="zh-CN"/>
        </w:rPr>
        <w:t xml:space="preserve">共有车辆 </w:t>
      </w:r>
      <w:r>
        <w:rPr>
          <w:rFonts w:hint="eastAsia" w:ascii="仿宋" w:hAnsi="仿宋" w:eastAsia="仿宋"/>
          <w:u w:val="single"/>
          <w:lang w:val="en-US" w:eastAsia="zh-CN"/>
        </w:rPr>
        <w:t>1</w:t>
      </w:r>
      <w:r>
        <w:rPr>
          <w:rFonts w:hint="eastAsia"/>
          <w:lang w:eastAsia="zh-CN"/>
        </w:rPr>
        <w:t>辆,其中：一般公务用车实有数</w:t>
      </w:r>
      <w:r>
        <w:rPr>
          <w:rFonts w:hint="eastAsia" w:ascii="仿宋" w:hAnsi="仿宋" w:eastAsia="仿宋"/>
          <w:u w:val="single"/>
          <w:lang w:val="en-US" w:eastAsia="zh-CN"/>
        </w:rPr>
        <w:t>1</w:t>
      </w:r>
      <w:r>
        <w:rPr>
          <w:rFonts w:hint="eastAsia"/>
          <w:lang w:eastAsia="zh-CN"/>
        </w:rPr>
        <w:t>辆。</w:t>
      </w:r>
    </w:p>
    <w:p w14:paraId="136D99BD">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ascii="仿宋" w:hAnsi="仿宋" w:eastAsia="仿宋"/>
          <w:u w:val="single"/>
          <w:lang w:val="en-US" w:eastAsia="zh-CN"/>
        </w:rPr>
        <w:t>0</w:t>
      </w:r>
      <w:r>
        <w:rPr>
          <w:rFonts w:hint="eastAsia"/>
          <w:lang w:eastAsia="zh-CN"/>
        </w:rPr>
        <w:t>辆，安排购置单位价值200万元以上大型设备具体为</w:t>
      </w:r>
      <w:r>
        <w:rPr>
          <w:rFonts w:hint="eastAsia" w:ascii="仿宋" w:hAnsi="仿宋" w:eastAsia="仿宋"/>
          <w:u w:val="single"/>
          <w:lang w:val="en-US" w:eastAsia="zh-CN"/>
        </w:rPr>
        <w:t>0</w:t>
      </w:r>
      <w:r>
        <w:rPr>
          <w:rFonts w:hint="eastAsia"/>
          <w:lang w:eastAsia="zh-CN"/>
        </w:rPr>
        <w:t>。</w:t>
      </w:r>
    </w:p>
    <w:p w14:paraId="575AFB7A">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0EE78C9D">
      <w:pPr>
        <w:pStyle w:val="19"/>
        <w:bidi w:val="0"/>
        <w:rPr>
          <w:rFonts w:hint="eastAsia"/>
          <w:lang w:eastAsia="zh-CN"/>
        </w:rPr>
      </w:pPr>
      <w:r>
        <w:rPr>
          <w:rFonts w:hint="eastAsia" w:ascii="Adobe 仿宋 Std R" w:hAnsi="Adobe 仿宋 Std R" w:eastAsia="Adobe 仿宋 Std R"/>
          <w:sz w:val="32"/>
          <w:szCs w:val="32"/>
        </w:rPr>
        <w:t xml:space="preserve"> </w:t>
      </w:r>
      <w:r>
        <w:rPr>
          <w:rStyle w:val="13"/>
          <w:rFonts w:hint="eastAsia" w:ascii="仿宋" w:hAnsi="仿宋" w:eastAsia="仿宋"/>
          <w:lang w:val="en-US" w:eastAsia="zh-CN"/>
        </w:rPr>
        <w:t>2026年年初预算安排无项目支出，</w:t>
      </w:r>
      <w:r>
        <w:rPr>
          <w:rStyle w:val="13"/>
          <w:rFonts w:hint="eastAsia" w:ascii="仿宋" w:hAnsi="仿宋" w:eastAsia="仿宋" w:cstheme="minorBidi"/>
          <w:lang w:val="en-US" w:eastAsia="zh-CN"/>
        </w:rPr>
        <w:t>本单位本年度未单独安排项目，故本单位无项目情况说明。</w:t>
      </w:r>
    </w:p>
    <w:p w14:paraId="3FD4F38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62BF930">
      <w:pPr>
        <w:pStyle w:val="19"/>
        <w:bidi w:val="0"/>
        <w:rPr>
          <w:rFonts w:hint="eastAsia"/>
          <w:lang w:eastAsia="zh-CN"/>
        </w:rPr>
      </w:pPr>
      <w:r>
        <w:rPr>
          <w:rFonts w:hint="eastAsia"/>
          <w:lang w:eastAsia="zh-CN"/>
        </w:rPr>
        <w:t>2026年九江市中小学校服务保障中心财政拨款"三公"经费安排</w:t>
      </w:r>
      <w:r>
        <w:rPr>
          <w:rFonts w:hint="eastAsia"/>
          <w:u w:val="single"/>
          <w:lang w:eastAsia="zh-CN"/>
        </w:rPr>
        <w:t>5.00</w:t>
      </w:r>
      <w:r>
        <w:rPr>
          <w:rFonts w:hint="eastAsia"/>
          <w:lang w:eastAsia="zh-CN"/>
        </w:rPr>
        <w:t>万元，其中：</w:t>
      </w:r>
    </w:p>
    <w:p w14:paraId="784489A9">
      <w:pPr>
        <w:spacing w:line="56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因公出国</w:t>
      </w:r>
      <w:r>
        <w:rPr>
          <w:rFonts w:hint="eastAsia" w:ascii="仿宋_GB2312" w:hAnsi="仿宋_GB2312" w:eastAsia="仿宋_GB2312" w:cstheme="minorBidi"/>
          <w:kern w:val="2"/>
          <w:sz w:val="32"/>
          <w:szCs w:val="32"/>
          <w:u w:val="single"/>
          <w:lang w:val="en-US" w:eastAsia="zh-CN" w:bidi="ar-SA"/>
        </w:rPr>
        <w:t>0.00</w:t>
      </w:r>
      <w:r>
        <w:rPr>
          <w:rFonts w:hint="eastAsia" w:ascii="仿宋_GB2312" w:hAnsi="仿宋_GB2312" w:eastAsia="仿宋_GB2312" w:cstheme="minorBidi"/>
          <w:kern w:val="2"/>
          <w:sz w:val="32"/>
          <w:szCs w:val="32"/>
          <w:lang w:val="en-US" w:eastAsia="zh-CN" w:bidi="ar-SA"/>
        </w:rPr>
        <w:t>万元,比上年增（减）</w:t>
      </w:r>
      <w:r>
        <w:rPr>
          <w:rFonts w:hint="eastAsia" w:ascii="仿宋" w:hAnsi="仿宋" w:eastAsia="仿宋" w:cs="Times New Roman"/>
          <w:kern w:val="0"/>
          <w:sz w:val="32"/>
          <w:szCs w:val="32"/>
          <w:u w:val="single"/>
          <w:lang w:val="en-US" w:eastAsia="zh-CN"/>
        </w:rPr>
        <w:t>0</w:t>
      </w:r>
      <w:r>
        <w:rPr>
          <w:rFonts w:hint="eastAsia" w:ascii="仿宋_GB2312" w:hAnsi="仿宋_GB2312" w:eastAsia="仿宋_GB2312" w:cstheme="minorBidi"/>
          <w:kern w:val="2"/>
          <w:sz w:val="32"/>
          <w:szCs w:val="32"/>
          <w:lang w:val="en-US" w:eastAsia="zh-CN" w:bidi="ar-SA"/>
        </w:rPr>
        <w:t>万元，主要原因是：</w:t>
      </w:r>
      <w:r>
        <w:rPr>
          <w:rFonts w:hint="eastAsia" w:ascii="仿宋_GB2312" w:hAnsi="仿宋_GB2312" w:eastAsia="仿宋_GB2312" w:cstheme="minorBidi"/>
          <w:kern w:val="2"/>
          <w:sz w:val="32"/>
          <w:szCs w:val="32"/>
          <w:u w:val="single"/>
          <w:lang w:val="en-US" w:eastAsia="zh-CN" w:bidi="ar-SA"/>
        </w:rPr>
        <w:t>无发生，与上年安排保持一致</w:t>
      </w:r>
      <w:r>
        <w:rPr>
          <w:rFonts w:hint="eastAsia" w:ascii="仿宋_GB2312" w:hAnsi="仿宋_GB2312" w:eastAsia="仿宋_GB2312" w:cstheme="minorBidi"/>
          <w:kern w:val="2"/>
          <w:sz w:val="32"/>
          <w:szCs w:val="32"/>
          <w:lang w:val="en-US" w:eastAsia="zh-CN" w:bidi="ar-SA"/>
        </w:rPr>
        <w:t>。</w:t>
      </w:r>
    </w:p>
    <w:p w14:paraId="3D1487D7">
      <w:pPr>
        <w:spacing w:line="56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公务接待</w:t>
      </w:r>
      <w:r>
        <w:rPr>
          <w:rFonts w:hint="eastAsia" w:ascii="仿宋_GB2312" w:hAnsi="仿宋_GB2312" w:eastAsia="仿宋_GB2312" w:cstheme="minorBidi"/>
          <w:kern w:val="2"/>
          <w:sz w:val="32"/>
          <w:szCs w:val="32"/>
          <w:u w:val="single"/>
          <w:lang w:val="en-US" w:eastAsia="zh-CN" w:bidi="ar-SA"/>
        </w:rPr>
        <w:t>1.50</w:t>
      </w:r>
      <w:r>
        <w:rPr>
          <w:rFonts w:hint="eastAsia" w:ascii="仿宋_GB2312" w:hAnsi="仿宋_GB2312" w:eastAsia="仿宋_GB2312" w:cstheme="minorBidi"/>
          <w:kern w:val="2"/>
          <w:sz w:val="32"/>
          <w:szCs w:val="32"/>
          <w:lang w:val="en-US" w:eastAsia="zh-CN" w:bidi="ar-SA"/>
        </w:rPr>
        <w:t>万元,比上年增（减）</w:t>
      </w:r>
      <w:r>
        <w:rPr>
          <w:rFonts w:hint="eastAsia" w:ascii="仿宋" w:hAnsi="仿宋" w:eastAsia="仿宋" w:cs="Times New Roman"/>
          <w:kern w:val="0"/>
          <w:sz w:val="32"/>
          <w:szCs w:val="32"/>
          <w:u w:val="single"/>
          <w:lang w:val="en-US" w:eastAsia="zh-CN"/>
        </w:rPr>
        <w:t>0</w:t>
      </w:r>
      <w:r>
        <w:rPr>
          <w:rFonts w:hint="eastAsia" w:ascii="仿宋_GB2312" w:hAnsi="仿宋_GB2312" w:eastAsia="仿宋_GB2312" w:cstheme="minorBidi"/>
          <w:kern w:val="2"/>
          <w:sz w:val="32"/>
          <w:szCs w:val="32"/>
          <w:lang w:val="en-US" w:eastAsia="zh-CN" w:bidi="ar-SA"/>
        </w:rPr>
        <w:t>万元，主要原因是：</w:t>
      </w:r>
      <w:r>
        <w:rPr>
          <w:rFonts w:hint="eastAsia" w:ascii="仿宋_GB2312" w:hAnsi="仿宋_GB2312" w:eastAsia="仿宋_GB2312" w:cstheme="minorBidi"/>
          <w:kern w:val="2"/>
          <w:sz w:val="32"/>
          <w:szCs w:val="32"/>
          <w:u w:val="single"/>
          <w:lang w:val="en-US" w:eastAsia="zh-CN" w:bidi="ar-SA"/>
        </w:rPr>
        <w:t>无发生，与上年安排保持一致</w:t>
      </w:r>
      <w:r>
        <w:rPr>
          <w:rFonts w:hint="eastAsia" w:ascii="仿宋_GB2312" w:hAnsi="仿宋_GB2312" w:eastAsia="仿宋_GB2312" w:cstheme="minorBidi"/>
          <w:kern w:val="2"/>
          <w:sz w:val="32"/>
          <w:szCs w:val="32"/>
          <w:lang w:val="en-US" w:eastAsia="zh-CN" w:bidi="ar-SA"/>
        </w:rPr>
        <w:t>。</w:t>
      </w:r>
    </w:p>
    <w:p w14:paraId="3D49999B">
      <w:pPr>
        <w:spacing w:line="56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公务用车运行3.50万元,比上年增（减）</w:t>
      </w:r>
      <w:r>
        <w:rPr>
          <w:rFonts w:hint="eastAsia" w:ascii="仿宋" w:hAnsi="仿宋" w:eastAsia="仿宋" w:cs="Times New Roman"/>
          <w:kern w:val="0"/>
          <w:sz w:val="32"/>
          <w:szCs w:val="32"/>
          <w:u w:val="single"/>
          <w:lang w:val="en-US" w:eastAsia="zh-CN"/>
        </w:rPr>
        <w:t>0</w:t>
      </w:r>
      <w:r>
        <w:rPr>
          <w:rFonts w:hint="eastAsia" w:ascii="仿宋_GB2312" w:hAnsi="仿宋_GB2312" w:eastAsia="仿宋_GB2312" w:cstheme="minorBidi"/>
          <w:kern w:val="2"/>
          <w:sz w:val="32"/>
          <w:szCs w:val="32"/>
          <w:lang w:val="en-US" w:eastAsia="zh-CN" w:bidi="ar-SA"/>
        </w:rPr>
        <w:t>万元，主要原因是：</w:t>
      </w:r>
      <w:r>
        <w:rPr>
          <w:rFonts w:hint="eastAsia" w:ascii="仿宋_GB2312" w:hAnsi="仿宋_GB2312" w:eastAsia="仿宋_GB2312" w:cstheme="minorBidi"/>
          <w:kern w:val="2"/>
          <w:sz w:val="32"/>
          <w:szCs w:val="32"/>
          <w:u w:val="single"/>
          <w:lang w:val="en-US" w:eastAsia="zh-CN" w:bidi="ar-SA"/>
        </w:rPr>
        <w:t>无发生，与上年安排保持一致</w:t>
      </w:r>
      <w:r>
        <w:rPr>
          <w:rFonts w:hint="eastAsia" w:ascii="仿宋_GB2312" w:hAnsi="仿宋_GB2312" w:eastAsia="仿宋_GB2312" w:cstheme="minorBidi"/>
          <w:kern w:val="2"/>
          <w:sz w:val="32"/>
          <w:szCs w:val="32"/>
          <w:lang w:val="en-US" w:eastAsia="zh-CN" w:bidi="ar-SA"/>
        </w:rPr>
        <w:t>。</w:t>
      </w:r>
    </w:p>
    <w:p w14:paraId="5F2BA073">
      <w:pPr>
        <w:spacing w:line="56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公务用车购置0.00万元,比上年增（减）</w:t>
      </w:r>
      <w:r>
        <w:rPr>
          <w:rFonts w:hint="eastAsia" w:ascii="仿宋" w:hAnsi="仿宋" w:eastAsia="仿宋" w:cs="Times New Roman"/>
          <w:kern w:val="0"/>
          <w:sz w:val="32"/>
          <w:szCs w:val="32"/>
          <w:u w:val="single"/>
          <w:lang w:val="en-US" w:eastAsia="zh-CN"/>
        </w:rPr>
        <w:t>0</w:t>
      </w:r>
      <w:r>
        <w:rPr>
          <w:rFonts w:hint="eastAsia" w:ascii="仿宋_GB2312" w:hAnsi="仿宋_GB2312" w:eastAsia="仿宋_GB2312" w:cstheme="minorBidi"/>
          <w:kern w:val="2"/>
          <w:sz w:val="32"/>
          <w:szCs w:val="32"/>
          <w:lang w:val="en-US" w:eastAsia="zh-CN" w:bidi="ar-SA"/>
        </w:rPr>
        <w:t>万元，主要原因是：</w:t>
      </w:r>
      <w:r>
        <w:rPr>
          <w:rFonts w:hint="eastAsia" w:ascii="仿宋_GB2312" w:hAnsi="仿宋_GB2312" w:eastAsia="仿宋_GB2312" w:cstheme="minorBidi"/>
          <w:kern w:val="2"/>
          <w:sz w:val="32"/>
          <w:szCs w:val="32"/>
          <w:u w:val="single"/>
          <w:lang w:val="en-US" w:eastAsia="zh-CN" w:bidi="ar-SA"/>
        </w:rPr>
        <w:t>无发生，与上年安排保持一致</w:t>
      </w:r>
      <w:r>
        <w:rPr>
          <w:rFonts w:hint="eastAsia" w:ascii="仿宋_GB2312" w:hAnsi="仿宋_GB2312" w:eastAsia="仿宋_GB2312" w:cstheme="minorBidi"/>
          <w:kern w:val="2"/>
          <w:sz w:val="32"/>
          <w:szCs w:val="32"/>
          <w:lang w:val="en-US" w:eastAsia="zh-CN" w:bidi="ar-SA"/>
        </w:rPr>
        <w:t>。</w:t>
      </w:r>
    </w:p>
    <w:p w14:paraId="759107BD">
      <w:pPr>
        <w:pStyle w:val="19"/>
        <w:bidi w:val="0"/>
        <w:rPr>
          <w:rFonts w:hint="eastAsia"/>
          <w:lang w:eastAsia="zh-CN"/>
        </w:rPr>
      </w:pPr>
    </w:p>
    <w:p w14:paraId="5BD9EA95">
      <w:pPr>
        <w:rPr>
          <w:rStyle w:val="13"/>
          <w:rFonts w:hint="eastAsia" w:ascii="仿宋" w:hAnsi="仿宋" w:eastAsia="仿宋"/>
          <w:sz w:val="32"/>
          <w:szCs w:val="32"/>
        </w:rPr>
      </w:pPr>
      <w:r>
        <w:rPr>
          <w:rStyle w:val="13"/>
          <w:rFonts w:hint="eastAsia" w:ascii="仿宋" w:hAnsi="仿宋" w:eastAsia="仿宋"/>
          <w:sz w:val="32"/>
          <w:szCs w:val="32"/>
        </w:rPr>
        <w:br w:type="page"/>
      </w:r>
    </w:p>
    <w:p w14:paraId="0C85373B">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21335B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1E1800A">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w:t>
      </w:r>
      <w:r>
        <w:rPr>
          <w:rFonts w:hint="eastAsia"/>
          <w:lang w:val="en-US" w:eastAsia="zh-CN"/>
        </w:rPr>
        <w:t>市级</w:t>
      </w:r>
      <w:r>
        <w:rPr>
          <w:rFonts w:hint="eastAsia"/>
          <w:lang w:eastAsia="zh-CN"/>
        </w:rPr>
        <w:t>财政当年拨付的资金。</w:t>
      </w:r>
    </w:p>
    <w:p w14:paraId="1DC15162">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ACC1D1D">
      <w:pPr>
        <w:pStyle w:val="19"/>
        <w:bidi w:val="0"/>
        <w:rPr>
          <w:rFonts w:hint="eastAsia"/>
          <w:lang w:eastAsia="zh-CN"/>
        </w:rPr>
      </w:pPr>
      <w:r>
        <w:rPr>
          <w:rFonts w:hint="eastAsia"/>
          <w:lang w:eastAsia="zh-CN"/>
        </w:rPr>
        <w:t>（三）事业收入：指事业单位开展专业业务活动及辅助活动取得的收入。</w:t>
      </w:r>
    </w:p>
    <w:p w14:paraId="7CEAE322">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BE0D4DB">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942EE0D">
      <w:pPr>
        <w:pStyle w:val="19"/>
        <w:bidi w:val="0"/>
        <w:rPr>
          <w:rFonts w:hint="eastAsia"/>
          <w:lang w:eastAsia="zh-CN"/>
        </w:rPr>
      </w:pPr>
      <w:r>
        <w:rPr>
          <w:rFonts w:hint="eastAsia"/>
          <w:lang w:eastAsia="zh-CN"/>
        </w:rPr>
        <w:t>（六）上级补助收入：指事业单位从主管部门和上级单位取得的非财政补助收入。</w:t>
      </w:r>
    </w:p>
    <w:p w14:paraId="0B4A2C0A">
      <w:pPr>
        <w:pStyle w:val="19"/>
        <w:bidi w:val="0"/>
        <w:rPr>
          <w:rFonts w:hint="eastAsia"/>
          <w:lang w:eastAsia="zh-CN"/>
        </w:rPr>
      </w:pPr>
      <w:r>
        <w:rPr>
          <w:rFonts w:hint="eastAsia"/>
          <w:lang w:eastAsia="zh-CN"/>
        </w:rPr>
        <w:t>（七）其他收入：指除财政拨款、事业收入、事业单位经营收入等以外的各项收入。</w:t>
      </w:r>
    </w:p>
    <w:p w14:paraId="06FA0AAA">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54EF7375">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829D68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CBCBE14">
      <w:pPr>
        <w:pStyle w:val="6"/>
        <w:keepNext w:val="0"/>
        <w:keepLines w:val="0"/>
        <w:widowControl/>
        <w:suppressLineNumbers w:val="0"/>
        <w:shd w:val="clear" w:color="auto" w:fill="FFFFFF"/>
        <w:spacing w:before="0" w:beforeAutospacing="0" w:after="0" w:afterAutospacing="0" w:line="450" w:lineRule="atLeast"/>
        <w:ind w:left="0" w:firstLine="600"/>
        <w:rPr>
          <w:rFonts w:hint="default" w:ascii="仿宋" w:hAnsi="仿宋" w:eastAsia="仿宋" w:cs="黑体"/>
          <w:bCs/>
          <w:kern w:val="2"/>
          <w:sz w:val="32"/>
          <w:szCs w:val="32"/>
          <w:lang w:val="en-US" w:eastAsia="zh-CN" w:bidi="ar-SA"/>
        </w:rPr>
      </w:pPr>
      <w:r>
        <w:rPr>
          <w:rFonts w:hint="eastAsia" w:ascii="仿宋" w:hAnsi="仿宋" w:eastAsia="仿宋" w:cs="仿宋"/>
          <w:i w:val="0"/>
          <w:iCs w:val="0"/>
          <w:caps w:val="0"/>
          <w:spacing w:val="0"/>
          <w:sz w:val="30"/>
          <w:szCs w:val="30"/>
          <w:shd w:val="clear" w:color="auto" w:fill="FFFFFF"/>
        </w:rPr>
        <w:t>（</w:t>
      </w:r>
      <w:r>
        <w:rPr>
          <w:rFonts w:hint="eastAsia" w:ascii="仿宋" w:hAnsi="仿宋" w:eastAsia="仿宋" w:cs="黑体"/>
          <w:bCs/>
          <w:kern w:val="2"/>
          <w:sz w:val="32"/>
          <w:szCs w:val="32"/>
          <w:lang w:val="en-US" w:eastAsia="zh-CN" w:bidi="ar-SA"/>
        </w:rPr>
        <w:t>一）教育管理事务支出：反映教育管理方面的支出。</w:t>
      </w:r>
    </w:p>
    <w:p w14:paraId="0AC9D727">
      <w:pPr>
        <w:pStyle w:val="6"/>
        <w:keepNext w:val="0"/>
        <w:keepLines w:val="0"/>
        <w:widowControl/>
        <w:suppressLineNumbers w:val="0"/>
        <w:shd w:val="clear" w:color="auto" w:fill="FFFFFF"/>
        <w:spacing w:before="0" w:beforeAutospacing="0" w:after="0" w:afterAutospacing="0" w:line="450" w:lineRule="atLeast"/>
        <w:ind w:left="0" w:firstLine="600"/>
        <w:rPr>
          <w:rFonts w:hint="default" w:ascii="仿宋" w:hAnsi="仿宋" w:eastAsia="仿宋" w:cs="黑体"/>
          <w:bCs/>
          <w:kern w:val="2"/>
          <w:sz w:val="32"/>
          <w:szCs w:val="32"/>
          <w:lang w:val="en-US" w:eastAsia="zh-CN" w:bidi="ar-SA"/>
        </w:rPr>
      </w:pPr>
      <w:r>
        <w:rPr>
          <w:rFonts w:hint="eastAsia" w:ascii="仿宋" w:hAnsi="仿宋" w:eastAsia="仿宋" w:cs="黑体"/>
          <w:bCs/>
          <w:kern w:val="2"/>
          <w:sz w:val="32"/>
          <w:szCs w:val="32"/>
          <w:lang w:val="en-US" w:eastAsia="zh-CN" w:bidi="ar-SA"/>
        </w:rPr>
        <w:t>（二）普通教育支出：反映各类普通教育支出</w:t>
      </w:r>
    </w:p>
    <w:p w14:paraId="7A39809D">
      <w:pPr>
        <w:pStyle w:val="6"/>
        <w:keepNext w:val="0"/>
        <w:keepLines w:val="0"/>
        <w:widowControl/>
        <w:suppressLineNumbers w:val="0"/>
        <w:shd w:val="clear" w:color="auto" w:fill="FFFFFF"/>
        <w:spacing w:before="0" w:beforeAutospacing="0" w:after="0" w:afterAutospacing="0" w:line="450" w:lineRule="atLeast"/>
        <w:ind w:left="0" w:firstLine="600"/>
        <w:rPr>
          <w:rFonts w:hint="default" w:ascii="仿宋" w:hAnsi="仿宋" w:eastAsia="仿宋" w:cs="黑体"/>
          <w:bCs/>
          <w:kern w:val="2"/>
          <w:sz w:val="32"/>
          <w:szCs w:val="32"/>
          <w:lang w:val="en-US" w:eastAsia="zh-CN" w:bidi="ar-SA"/>
        </w:rPr>
      </w:pPr>
      <w:r>
        <w:rPr>
          <w:rFonts w:hint="eastAsia" w:ascii="仿宋" w:hAnsi="仿宋" w:eastAsia="仿宋" w:cs="黑体"/>
          <w:bCs/>
          <w:kern w:val="2"/>
          <w:sz w:val="32"/>
          <w:szCs w:val="32"/>
          <w:lang w:val="en-US" w:eastAsia="zh-CN" w:bidi="ar-SA"/>
        </w:rPr>
        <w:t>（三）教育费附加安排的支出：反映教育费附加安排的支出</w:t>
      </w:r>
    </w:p>
    <w:p w14:paraId="06D11670">
      <w:pPr>
        <w:pStyle w:val="6"/>
        <w:keepNext w:val="0"/>
        <w:keepLines w:val="0"/>
        <w:widowControl/>
        <w:suppressLineNumbers w:val="0"/>
        <w:shd w:val="clear" w:color="auto" w:fill="FFFFFF"/>
        <w:spacing w:before="0" w:beforeAutospacing="0" w:after="0" w:afterAutospacing="0" w:line="450" w:lineRule="atLeast"/>
        <w:ind w:left="0" w:firstLine="600"/>
        <w:rPr>
          <w:rFonts w:hint="default" w:ascii="仿宋" w:hAnsi="仿宋" w:eastAsia="仿宋" w:cs="黑体"/>
          <w:bCs/>
          <w:kern w:val="2"/>
          <w:sz w:val="32"/>
          <w:szCs w:val="32"/>
          <w:lang w:val="en-US" w:eastAsia="zh-CN" w:bidi="ar-SA"/>
        </w:rPr>
      </w:pPr>
      <w:r>
        <w:rPr>
          <w:rFonts w:hint="eastAsia" w:ascii="仿宋" w:hAnsi="仿宋" w:eastAsia="仿宋" w:cs="黑体"/>
          <w:bCs/>
          <w:kern w:val="2"/>
          <w:sz w:val="32"/>
          <w:szCs w:val="32"/>
          <w:lang w:val="en-US" w:eastAsia="zh-CN" w:bidi="ar-SA"/>
        </w:rPr>
        <w:t>（四）社会保障支出，包括退休人员和事业单位基本养老保险缴费支出。</w:t>
      </w:r>
    </w:p>
    <w:p w14:paraId="340C7887">
      <w:pPr>
        <w:pStyle w:val="6"/>
        <w:keepNext w:val="0"/>
        <w:keepLines w:val="0"/>
        <w:widowControl/>
        <w:suppressLineNumbers w:val="0"/>
        <w:shd w:val="clear" w:color="auto" w:fill="FFFFFF"/>
        <w:spacing w:before="0" w:beforeAutospacing="0" w:after="0" w:afterAutospacing="0" w:line="450" w:lineRule="atLeast"/>
        <w:ind w:left="0" w:firstLine="600"/>
        <w:rPr>
          <w:rFonts w:hint="default" w:ascii="仿宋" w:hAnsi="仿宋" w:eastAsia="仿宋" w:cs="黑体"/>
          <w:bCs/>
          <w:kern w:val="2"/>
          <w:sz w:val="32"/>
          <w:szCs w:val="32"/>
          <w:lang w:val="en-US" w:eastAsia="zh-CN" w:bidi="ar-SA"/>
        </w:rPr>
      </w:pPr>
      <w:r>
        <w:rPr>
          <w:rFonts w:hint="eastAsia" w:ascii="仿宋" w:hAnsi="仿宋" w:eastAsia="仿宋" w:cs="黑体"/>
          <w:bCs/>
          <w:kern w:val="2"/>
          <w:sz w:val="32"/>
          <w:szCs w:val="32"/>
          <w:lang w:val="en-US" w:eastAsia="zh-CN" w:bidi="ar-SA"/>
        </w:rPr>
        <w:t>（五）卫生健康支出，是指单位医疗支出</w:t>
      </w:r>
    </w:p>
    <w:p w14:paraId="1B4C2F6C">
      <w:pPr>
        <w:pStyle w:val="6"/>
        <w:keepNext w:val="0"/>
        <w:keepLines w:val="0"/>
        <w:widowControl/>
        <w:suppressLineNumbers w:val="0"/>
        <w:shd w:val="clear" w:color="auto" w:fill="FFFFFF"/>
        <w:spacing w:before="0" w:beforeAutospacing="0" w:after="0" w:afterAutospacing="0"/>
        <w:ind w:left="0" w:firstLine="600"/>
        <w:jc w:val="left"/>
        <w:rPr>
          <w:rFonts w:hint="default" w:ascii="仿宋" w:hAnsi="仿宋" w:eastAsia="仿宋" w:cs="黑体"/>
          <w:bCs/>
          <w:kern w:val="2"/>
          <w:sz w:val="32"/>
          <w:szCs w:val="32"/>
          <w:lang w:val="en-US" w:eastAsia="zh-CN" w:bidi="ar-SA"/>
        </w:rPr>
      </w:pPr>
      <w:r>
        <w:rPr>
          <w:rFonts w:hint="eastAsia" w:ascii="仿宋" w:hAnsi="仿宋" w:eastAsia="仿宋" w:cs="黑体"/>
          <w:bCs/>
          <w:kern w:val="2"/>
          <w:sz w:val="32"/>
          <w:szCs w:val="32"/>
          <w:lang w:val="en-US" w:eastAsia="zh-CN" w:bidi="ar-SA"/>
        </w:rPr>
        <w:t>（六）</w:t>
      </w:r>
      <w:r>
        <w:rPr>
          <w:rFonts w:hint="default" w:ascii="仿宋" w:hAnsi="仿宋" w:eastAsia="仿宋" w:cs="黑体"/>
          <w:bCs/>
          <w:kern w:val="2"/>
          <w:sz w:val="32"/>
          <w:szCs w:val="32"/>
          <w:lang w:val="en-US" w:eastAsia="zh-CN" w:bidi="ar-SA"/>
        </w:rPr>
        <w:t>“</w:t>
      </w:r>
      <w:r>
        <w:rPr>
          <w:rFonts w:hint="eastAsia" w:ascii="仿宋" w:hAnsi="仿宋" w:eastAsia="仿宋" w:cs="黑体"/>
          <w:bCs/>
          <w:kern w:val="2"/>
          <w:sz w:val="32"/>
          <w:szCs w:val="32"/>
          <w:lang w:val="en-US" w:eastAsia="zh-CN" w:bidi="ar-SA"/>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r>
        <w:rPr>
          <w:rFonts w:hint="default" w:ascii="仿宋" w:hAnsi="仿宋" w:eastAsia="仿宋" w:cs="黑体"/>
          <w:bCs/>
          <w:kern w:val="2"/>
          <w:sz w:val="32"/>
          <w:szCs w:val="32"/>
          <w:lang w:val="en-US" w:eastAsia="zh-CN" w:bidi="ar-SA"/>
        </w:rPr>
        <w:br w:type="textWrapping"/>
      </w:r>
      <w:r>
        <w:rPr>
          <w:rFonts w:hint="eastAsia" w:ascii="仿宋" w:hAnsi="仿宋" w:eastAsia="仿宋" w:cs="黑体"/>
          <w:bCs/>
          <w:kern w:val="2"/>
          <w:sz w:val="32"/>
          <w:szCs w:val="32"/>
          <w:lang w:val="en-US" w:eastAsia="zh-CN" w:bidi="ar-SA"/>
        </w:rPr>
        <w:t>      (七）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7D63654">
      <w:pPr>
        <w:widowControl/>
        <w:spacing w:line="600" w:lineRule="exact"/>
        <w:ind w:firstLine="640" w:firstLineChars="200"/>
        <w:jc w:val="left"/>
        <w:rPr>
          <w:rFonts w:ascii="仿宋_GB2312" w:eastAsia="仿宋_GB2312"/>
          <w:color w:val="000000"/>
          <w:sz w:val="32"/>
          <w:szCs w:val="30"/>
        </w:rPr>
      </w:pPr>
    </w:p>
    <w:p w14:paraId="0E892A5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C1E5EEC">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967D584">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628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12345"/>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E27E5"/>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D0F97"/>
    <w:rsid w:val="01EF572E"/>
    <w:rsid w:val="020411DA"/>
    <w:rsid w:val="02176B4D"/>
    <w:rsid w:val="027619AC"/>
    <w:rsid w:val="0288005D"/>
    <w:rsid w:val="028B36A9"/>
    <w:rsid w:val="02BC7D06"/>
    <w:rsid w:val="02C06A14"/>
    <w:rsid w:val="02C646E1"/>
    <w:rsid w:val="02F05C02"/>
    <w:rsid w:val="0313418A"/>
    <w:rsid w:val="03183089"/>
    <w:rsid w:val="03321D76"/>
    <w:rsid w:val="033409AD"/>
    <w:rsid w:val="036543A8"/>
    <w:rsid w:val="03713379"/>
    <w:rsid w:val="03906A9D"/>
    <w:rsid w:val="03A26EFC"/>
    <w:rsid w:val="03C54F15"/>
    <w:rsid w:val="03CA6850"/>
    <w:rsid w:val="042A6EF2"/>
    <w:rsid w:val="044C3E08"/>
    <w:rsid w:val="048760F2"/>
    <w:rsid w:val="04A9250C"/>
    <w:rsid w:val="04AB0032"/>
    <w:rsid w:val="04D1736D"/>
    <w:rsid w:val="04EF43C3"/>
    <w:rsid w:val="0548762F"/>
    <w:rsid w:val="056335EC"/>
    <w:rsid w:val="058E403A"/>
    <w:rsid w:val="05A96FBC"/>
    <w:rsid w:val="05CB200E"/>
    <w:rsid w:val="06187730"/>
    <w:rsid w:val="067A6028"/>
    <w:rsid w:val="069027A8"/>
    <w:rsid w:val="06BE4E5C"/>
    <w:rsid w:val="06C16A1F"/>
    <w:rsid w:val="06EB090E"/>
    <w:rsid w:val="070F6488"/>
    <w:rsid w:val="072E0AA7"/>
    <w:rsid w:val="07493DE4"/>
    <w:rsid w:val="074A1D85"/>
    <w:rsid w:val="076646E5"/>
    <w:rsid w:val="07944DAE"/>
    <w:rsid w:val="07DA39BA"/>
    <w:rsid w:val="07FD6DF7"/>
    <w:rsid w:val="082731AE"/>
    <w:rsid w:val="089B644D"/>
    <w:rsid w:val="08AA6372"/>
    <w:rsid w:val="08CF32E4"/>
    <w:rsid w:val="08DE27F5"/>
    <w:rsid w:val="09336848"/>
    <w:rsid w:val="0957140D"/>
    <w:rsid w:val="09736DEA"/>
    <w:rsid w:val="097430E9"/>
    <w:rsid w:val="09813405"/>
    <w:rsid w:val="098466E2"/>
    <w:rsid w:val="099A2423"/>
    <w:rsid w:val="09C63CB7"/>
    <w:rsid w:val="09CF031F"/>
    <w:rsid w:val="0A1A2AD5"/>
    <w:rsid w:val="0A2F7010"/>
    <w:rsid w:val="0A3B59B5"/>
    <w:rsid w:val="0A603A28"/>
    <w:rsid w:val="0A762E91"/>
    <w:rsid w:val="0A7E3AF3"/>
    <w:rsid w:val="0B2E6C33"/>
    <w:rsid w:val="0B3F14D4"/>
    <w:rsid w:val="0B471443"/>
    <w:rsid w:val="0B582596"/>
    <w:rsid w:val="0B776EC0"/>
    <w:rsid w:val="0BD22464"/>
    <w:rsid w:val="0BDC31C7"/>
    <w:rsid w:val="0C022D96"/>
    <w:rsid w:val="0C0F6191"/>
    <w:rsid w:val="0C210BDA"/>
    <w:rsid w:val="0C22507E"/>
    <w:rsid w:val="0C234952"/>
    <w:rsid w:val="0C3A380A"/>
    <w:rsid w:val="0C580AA0"/>
    <w:rsid w:val="0C97247A"/>
    <w:rsid w:val="0CE40340"/>
    <w:rsid w:val="0D1D3A97"/>
    <w:rsid w:val="0D3D1A44"/>
    <w:rsid w:val="0D6276FC"/>
    <w:rsid w:val="0D7F0935"/>
    <w:rsid w:val="0D8256A8"/>
    <w:rsid w:val="0D906017"/>
    <w:rsid w:val="0DB3098E"/>
    <w:rsid w:val="0DC46BAD"/>
    <w:rsid w:val="0DF5231E"/>
    <w:rsid w:val="0E4868F2"/>
    <w:rsid w:val="0E8A2A67"/>
    <w:rsid w:val="0EAA4EB7"/>
    <w:rsid w:val="0EC56195"/>
    <w:rsid w:val="0ED334BB"/>
    <w:rsid w:val="0EED77D1"/>
    <w:rsid w:val="0EF6634E"/>
    <w:rsid w:val="0EFE5F92"/>
    <w:rsid w:val="0F2509E1"/>
    <w:rsid w:val="0F4E1CE6"/>
    <w:rsid w:val="0F7E72D6"/>
    <w:rsid w:val="0FA364D6"/>
    <w:rsid w:val="0FFC5BE6"/>
    <w:rsid w:val="1031492B"/>
    <w:rsid w:val="103510F8"/>
    <w:rsid w:val="10374E70"/>
    <w:rsid w:val="1042584C"/>
    <w:rsid w:val="10C76C75"/>
    <w:rsid w:val="10EC7A09"/>
    <w:rsid w:val="115F467E"/>
    <w:rsid w:val="1170063A"/>
    <w:rsid w:val="118C7F17"/>
    <w:rsid w:val="11A83289"/>
    <w:rsid w:val="11B00A36"/>
    <w:rsid w:val="11BA18B5"/>
    <w:rsid w:val="11C95F9C"/>
    <w:rsid w:val="12301B77"/>
    <w:rsid w:val="1257497F"/>
    <w:rsid w:val="125D4F01"/>
    <w:rsid w:val="12AB25F0"/>
    <w:rsid w:val="12C66037"/>
    <w:rsid w:val="12D71EE1"/>
    <w:rsid w:val="13024677"/>
    <w:rsid w:val="132316DC"/>
    <w:rsid w:val="13257202"/>
    <w:rsid w:val="146A26EA"/>
    <w:rsid w:val="14972381"/>
    <w:rsid w:val="149F4D92"/>
    <w:rsid w:val="14DB226E"/>
    <w:rsid w:val="14F25809"/>
    <w:rsid w:val="15BD1974"/>
    <w:rsid w:val="15E50181"/>
    <w:rsid w:val="15F1786F"/>
    <w:rsid w:val="161C0D90"/>
    <w:rsid w:val="161C45A6"/>
    <w:rsid w:val="163E20B5"/>
    <w:rsid w:val="167909DF"/>
    <w:rsid w:val="16790A4B"/>
    <w:rsid w:val="16A62BCA"/>
    <w:rsid w:val="16B57185"/>
    <w:rsid w:val="16D72F09"/>
    <w:rsid w:val="16D73651"/>
    <w:rsid w:val="16E15B36"/>
    <w:rsid w:val="16EB42BE"/>
    <w:rsid w:val="17201A96"/>
    <w:rsid w:val="175943AB"/>
    <w:rsid w:val="177B5642"/>
    <w:rsid w:val="17F9727B"/>
    <w:rsid w:val="18267CA4"/>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D0194"/>
    <w:rsid w:val="19BE5CBA"/>
    <w:rsid w:val="19DD5162"/>
    <w:rsid w:val="19F65454"/>
    <w:rsid w:val="1A5F56EF"/>
    <w:rsid w:val="1A7620CB"/>
    <w:rsid w:val="1A9E7E47"/>
    <w:rsid w:val="1AAC4E51"/>
    <w:rsid w:val="1ACC4407"/>
    <w:rsid w:val="1B106CD9"/>
    <w:rsid w:val="1B1E744F"/>
    <w:rsid w:val="1B477CB6"/>
    <w:rsid w:val="1B513369"/>
    <w:rsid w:val="1B5543FC"/>
    <w:rsid w:val="1B9273FE"/>
    <w:rsid w:val="1BB9498B"/>
    <w:rsid w:val="1C3E1334"/>
    <w:rsid w:val="1CA13D9D"/>
    <w:rsid w:val="1D022362"/>
    <w:rsid w:val="1D156539"/>
    <w:rsid w:val="1D1D0F4A"/>
    <w:rsid w:val="1D2E3157"/>
    <w:rsid w:val="1D412E8A"/>
    <w:rsid w:val="1D683EAA"/>
    <w:rsid w:val="1D743E4F"/>
    <w:rsid w:val="1D8A4831"/>
    <w:rsid w:val="1DB4365C"/>
    <w:rsid w:val="1DC43CB7"/>
    <w:rsid w:val="1DE62972"/>
    <w:rsid w:val="1DED3012"/>
    <w:rsid w:val="1DFE521F"/>
    <w:rsid w:val="1E002D45"/>
    <w:rsid w:val="1E0F11DA"/>
    <w:rsid w:val="1E332A67"/>
    <w:rsid w:val="1E58312C"/>
    <w:rsid w:val="1E5B2F38"/>
    <w:rsid w:val="1E5B441F"/>
    <w:rsid w:val="1E6F0C29"/>
    <w:rsid w:val="1E74728F"/>
    <w:rsid w:val="1E761259"/>
    <w:rsid w:val="1EAB2010"/>
    <w:rsid w:val="1EC370BA"/>
    <w:rsid w:val="1ED32208"/>
    <w:rsid w:val="1EDD4E34"/>
    <w:rsid w:val="1EDE3955"/>
    <w:rsid w:val="1EDF4DDA"/>
    <w:rsid w:val="1F117C31"/>
    <w:rsid w:val="1F240CB5"/>
    <w:rsid w:val="1F5350F7"/>
    <w:rsid w:val="1F647304"/>
    <w:rsid w:val="1FF163B0"/>
    <w:rsid w:val="200079AC"/>
    <w:rsid w:val="2039253E"/>
    <w:rsid w:val="206D0602"/>
    <w:rsid w:val="20757BCC"/>
    <w:rsid w:val="208D0D40"/>
    <w:rsid w:val="20B83463"/>
    <w:rsid w:val="20BB11A5"/>
    <w:rsid w:val="20BB73F7"/>
    <w:rsid w:val="20C60C0C"/>
    <w:rsid w:val="21290E85"/>
    <w:rsid w:val="212A1E87"/>
    <w:rsid w:val="218C669E"/>
    <w:rsid w:val="21933ED0"/>
    <w:rsid w:val="21C916A0"/>
    <w:rsid w:val="221B313D"/>
    <w:rsid w:val="221F7512"/>
    <w:rsid w:val="22421D13"/>
    <w:rsid w:val="22430342"/>
    <w:rsid w:val="22601146"/>
    <w:rsid w:val="22617B2B"/>
    <w:rsid w:val="226F2247"/>
    <w:rsid w:val="22A5210D"/>
    <w:rsid w:val="22B128F4"/>
    <w:rsid w:val="22BD518D"/>
    <w:rsid w:val="22E70030"/>
    <w:rsid w:val="230518A8"/>
    <w:rsid w:val="239B0E1A"/>
    <w:rsid w:val="23CA36E8"/>
    <w:rsid w:val="23F95523"/>
    <w:rsid w:val="2418246B"/>
    <w:rsid w:val="243948BB"/>
    <w:rsid w:val="24407927"/>
    <w:rsid w:val="248511A6"/>
    <w:rsid w:val="24A00DDE"/>
    <w:rsid w:val="24A5140E"/>
    <w:rsid w:val="24C50845"/>
    <w:rsid w:val="24EC43C3"/>
    <w:rsid w:val="252B0DDC"/>
    <w:rsid w:val="25495126"/>
    <w:rsid w:val="2584425C"/>
    <w:rsid w:val="25B931E9"/>
    <w:rsid w:val="25CE54D7"/>
    <w:rsid w:val="25F4209D"/>
    <w:rsid w:val="264B2FCC"/>
    <w:rsid w:val="264F6618"/>
    <w:rsid w:val="265579A6"/>
    <w:rsid w:val="267A7ED7"/>
    <w:rsid w:val="267B565F"/>
    <w:rsid w:val="26993D37"/>
    <w:rsid w:val="26BE72FA"/>
    <w:rsid w:val="26CB02AF"/>
    <w:rsid w:val="26FE5E6C"/>
    <w:rsid w:val="2753038A"/>
    <w:rsid w:val="27DA63B5"/>
    <w:rsid w:val="27E234BC"/>
    <w:rsid w:val="27EE6A79"/>
    <w:rsid w:val="28020B08"/>
    <w:rsid w:val="280B656E"/>
    <w:rsid w:val="2828673B"/>
    <w:rsid w:val="28461C9C"/>
    <w:rsid w:val="28C82B4A"/>
    <w:rsid w:val="28F31C90"/>
    <w:rsid w:val="291678C1"/>
    <w:rsid w:val="291B4ED7"/>
    <w:rsid w:val="29415831"/>
    <w:rsid w:val="295B01BA"/>
    <w:rsid w:val="29804E7F"/>
    <w:rsid w:val="299A22A0"/>
    <w:rsid w:val="299B130F"/>
    <w:rsid w:val="29A22F02"/>
    <w:rsid w:val="29D357B2"/>
    <w:rsid w:val="29F545C8"/>
    <w:rsid w:val="2A6B66A5"/>
    <w:rsid w:val="2A795C0F"/>
    <w:rsid w:val="2A7F18AC"/>
    <w:rsid w:val="2A8962DA"/>
    <w:rsid w:val="2A9E289C"/>
    <w:rsid w:val="2AC6492F"/>
    <w:rsid w:val="2AD4533E"/>
    <w:rsid w:val="2B050EB5"/>
    <w:rsid w:val="2B163BA8"/>
    <w:rsid w:val="2B5E72FD"/>
    <w:rsid w:val="2B6A1B7F"/>
    <w:rsid w:val="2B7D1E25"/>
    <w:rsid w:val="2B82123D"/>
    <w:rsid w:val="2BE124D6"/>
    <w:rsid w:val="2C245EB1"/>
    <w:rsid w:val="2C2D2A07"/>
    <w:rsid w:val="2C2E0A7D"/>
    <w:rsid w:val="2C532DA0"/>
    <w:rsid w:val="2C57797E"/>
    <w:rsid w:val="2C7D1A05"/>
    <w:rsid w:val="2CA86A82"/>
    <w:rsid w:val="2CB371D5"/>
    <w:rsid w:val="2CBC42DB"/>
    <w:rsid w:val="2CE077B3"/>
    <w:rsid w:val="2D0D5D1F"/>
    <w:rsid w:val="2D12214D"/>
    <w:rsid w:val="2D404F0C"/>
    <w:rsid w:val="2D5E2035"/>
    <w:rsid w:val="2D864873"/>
    <w:rsid w:val="2D937732"/>
    <w:rsid w:val="2DA96B06"/>
    <w:rsid w:val="2DD9710F"/>
    <w:rsid w:val="2DEF22D1"/>
    <w:rsid w:val="2E051E23"/>
    <w:rsid w:val="2E661E7F"/>
    <w:rsid w:val="2E666BF4"/>
    <w:rsid w:val="2E876B6B"/>
    <w:rsid w:val="2ED008F1"/>
    <w:rsid w:val="2EE1627B"/>
    <w:rsid w:val="2F221578"/>
    <w:rsid w:val="2F3276C7"/>
    <w:rsid w:val="2F356639"/>
    <w:rsid w:val="2F656EAC"/>
    <w:rsid w:val="2F875DDB"/>
    <w:rsid w:val="2FD91648"/>
    <w:rsid w:val="2FEF49C8"/>
    <w:rsid w:val="30007685"/>
    <w:rsid w:val="300F4902"/>
    <w:rsid w:val="303A64D0"/>
    <w:rsid w:val="30427C69"/>
    <w:rsid w:val="30A0509E"/>
    <w:rsid w:val="30D065A7"/>
    <w:rsid w:val="311B06F3"/>
    <w:rsid w:val="31480833"/>
    <w:rsid w:val="31513FFF"/>
    <w:rsid w:val="317909ED"/>
    <w:rsid w:val="31975317"/>
    <w:rsid w:val="31D10739"/>
    <w:rsid w:val="31E5110E"/>
    <w:rsid w:val="31FA476A"/>
    <w:rsid w:val="32101599"/>
    <w:rsid w:val="3240775C"/>
    <w:rsid w:val="327259BC"/>
    <w:rsid w:val="32827D75"/>
    <w:rsid w:val="32C510AF"/>
    <w:rsid w:val="32D103B5"/>
    <w:rsid w:val="32D911D9"/>
    <w:rsid w:val="33207934"/>
    <w:rsid w:val="3328400E"/>
    <w:rsid w:val="332B5D17"/>
    <w:rsid w:val="339B7340"/>
    <w:rsid w:val="33B273BE"/>
    <w:rsid w:val="33B51A84"/>
    <w:rsid w:val="33D60378"/>
    <w:rsid w:val="33EB1F16"/>
    <w:rsid w:val="34024CC3"/>
    <w:rsid w:val="34605E94"/>
    <w:rsid w:val="346C2784"/>
    <w:rsid w:val="346F257B"/>
    <w:rsid w:val="34967B08"/>
    <w:rsid w:val="349A316D"/>
    <w:rsid w:val="34B57D75"/>
    <w:rsid w:val="34B63D06"/>
    <w:rsid w:val="34F95019"/>
    <w:rsid w:val="35123632"/>
    <w:rsid w:val="35132F06"/>
    <w:rsid w:val="35192EC2"/>
    <w:rsid w:val="35306BDB"/>
    <w:rsid w:val="35492DCC"/>
    <w:rsid w:val="354E3F3E"/>
    <w:rsid w:val="357339A5"/>
    <w:rsid w:val="357F059C"/>
    <w:rsid w:val="359B22B4"/>
    <w:rsid w:val="35B20971"/>
    <w:rsid w:val="35E11256"/>
    <w:rsid w:val="35F03F41"/>
    <w:rsid w:val="35FF348B"/>
    <w:rsid w:val="36015455"/>
    <w:rsid w:val="363E00C4"/>
    <w:rsid w:val="369167D9"/>
    <w:rsid w:val="369B31B3"/>
    <w:rsid w:val="36C95F72"/>
    <w:rsid w:val="371F5B92"/>
    <w:rsid w:val="37555A58"/>
    <w:rsid w:val="375717D0"/>
    <w:rsid w:val="37692CB0"/>
    <w:rsid w:val="377E2B92"/>
    <w:rsid w:val="3786033A"/>
    <w:rsid w:val="379A346B"/>
    <w:rsid w:val="37F44BF3"/>
    <w:rsid w:val="383E029A"/>
    <w:rsid w:val="384A30E3"/>
    <w:rsid w:val="38765C86"/>
    <w:rsid w:val="389B393F"/>
    <w:rsid w:val="38A30A45"/>
    <w:rsid w:val="38A81BB8"/>
    <w:rsid w:val="38CC1D4A"/>
    <w:rsid w:val="38FD49CD"/>
    <w:rsid w:val="39363AEB"/>
    <w:rsid w:val="394E275F"/>
    <w:rsid w:val="39581830"/>
    <w:rsid w:val="396F26D5"/>
    <w:rsid w:val="397330FD"/>
    <w:rsid w:val="39827A59"/>
    <w:rsid w:val="39932267"/>
    <w:rsid w:val="399D4784"/>
    <w:rsid w:val="399F2FBB"/>
    <w:rsid w:val="39B20F40"/>
    <w:rsid w:val="39E82BB3"/>
    <w:rsid w:val="39ED7FCB"/>
    <w:rsid w:val="39F647B9"/>
    <w:rsid w:val="39F71049"/>
    <w:rsid w:val="3A053765"/>
    <w:rsid w:val="3A1A0893"/>
    <w:rsid w:val="3A592AFB"/>
    <w:rsid w:val="3A811F62"/>
    <w:rsid w:val="3A841EE9"/>
    <w:rsid w:val="3A8D375B"/>
    <w:rsid w:val="3A9F1A72"/>
    <w:rsid w:val="3AC82A1D"/>
    <w:rsid w:val="3ACE216B"/>
    <w:rsid w:val="3AE72E6B"/>
    <w:rsid w:val="3AED5FA8"/>
    <w:rsid w:val="3AF92B9E"/>
    <w:rsid w:val="3B0A4DAB"/>
    <w:rsid w:val="3B190B4B"/>
    <w:rsid w:val="3B331C0C"/>
    <w:rsid w:val="3B33742C"/>
    <w:rsid w:val="3B64626A"/>
    <w:rsid w:val="3B7346FF"/>
    <w:rsid w:val="3B7D1841"/>
    <w:rsid w:val="3B9C3C56"/>
    <w:rsid w:val="3BA174BE"/>
    <w:rsid w:val="3BA50630"/>
    <w:rsid w:val="3BB865B6"/>
    <w:rsid w:val="3BD333EF"/>
    <w:rsid w:val="3BE60A52"/>
    <w:rsid w:val="3BF740BD"/>
    <w:rsid w:val="3BF75330"/>
    <w:rsid w:val="3BF910A8"/>
    <w:rsid w:val="3C1001A0"/>
    <w:rsid w:val="3C587148"/>
    <w:rsid w:val="3C62791F"/>
    <w:rsid w:val="3C965237"/>
    <w:rsid w:val="3CA408E8"/>
    <w:rsid w:val="3CA64660"/>
    <w:rsid w:val="3CFB44C3"/>
    <w:rsid w:val="3D01676D"/>
    <w:rsid w:val="3D037D04"/>
    <w:rsid w:val="3D121CF5"/>
    <w:rsid w:val="3D2A5291"/>
    <w:rsid w:val="3D4F12A7"/>
    <w:rsid w:val="3D5F13DF"/>
    <w:rsid w:val="3D6A7D83"/>
    <w:rsid w:val="3D8449A1"/>
    <w:rsid w:val="3D8A2CB0"/>
    <w:rsid w:val="3D8F7591"/>
    <w:rsid w:val="3DE6565C"/>
    <w:rsid w:val="3E272EE8"/>
    <w:rsid w:val="3E344619"/>
    <w:rsid w:val="3E534E03"/>
    <w:rsid w:val="3E834C59"/>
    <w:rsid w:val="3E864749"/>
    <w:rsid w:val="3E917C19"/>
    <w:rsid w:val="3EBE2135"/>
    <w:rsid w:val="3ED656D0"/>
    <w:rsid w:val="3F12422F"/>
    <w:rsid w:val="3F1F4BA2"/>
    <w:rsid w:val="3F2521B4"/>
    <w:rsid w:val="3F383632"/>
    <w:rsid w:val="3F44662B"/>
    <w:rsid w:val="3F453306"/>
    <w:rsid w:val="3F740A45"/>
    <w:rsid w:val="3FAF58B0"/>
    <w:rsid w:val="3FC7326B"/>
    <w:rsid w:val="3FFF47B3"/>
    <w:rsid w:val="400E7546"/>
    <w:rsid w:val="40104C12"/>
    <w:rsid w:val="40183119"/>
    <w:rsid w:val="4052477A"/>
    <w:rsid w:val="4052753A"/>
    <w:rsid w:val="40580367"/>
    <w:rsid w:val="4087291E"/>
    <w:rsid w:val="409273D5"/>
    <w:rsid w:val="40B30B18"/>
    <w:rsid w:val="40D35977"/>
    <w:rsid w:val="40D75730"/>
    <w:rsid w:val="413E130B"/>
    <w:rsid w:val="41B7665D"/>
    <w:rsid w:val="41EA3241"/>
    <w:rsid w:val="41F12821"/>
    <w:rsid w:val="422514B1"/>
    <w:rsid w:val="426E79CE"/>
    <w:rsid w:val="42DE4B54"/>
    <w:rsid w:val="42E63A08"/>
    <w:rsid w:val="42F205FF"/>
    <w:rsid w:val="43422F5A"/>
    <w:rsid w:val="43713C1A"/>
    <w:rsid w:val="438D0AC0"/>
    <w:rsid w:val="439416B6"/>
    <w:rsid w:val="4394233B"/>
    <w:rsid w:val="43A833B4"/>
    <w:rsid w:val="43B35A16"/>
    <w:rsid w:val="441308E0"/>
    <w:rsid w:val="444F55DD"/>
    <w:rsid w:val="45014B29"/>
    <w:rsid w:val="45120AE5"/>
    <w:rsid w:val="45B7128B"/>
    <w:rsid w:val="45C970A0"/>
    <w:rsid w:val="45E16709"/>
    <w:rsid w:val="45EA198E"/>
    <w:rsid w:val="461E51EB"/>
    <w:rsid w:val="467D28D5"/>
    <w:rsid w:val="46873754"/>
    <w:rsid w:val="46902609"/>
    <w:rsid w:val="46A936CA"/>
    <w:rsid w:val="46B35164"/>
    <w:rsid w:val="46C430DC"/>
    <w:rsid w:val="46D1677D"/>
    <w:rsid w:val="474F6361"/>
    <w:rsid w:val="475F022D"/>
    <w:rsid w:val="4770243A"/>
    <w:rsid w:val="47704B50"/>
    <w:rsid w:val="47B81439"/>
    <w:rsid w:val="47E26E94"/>
    <w:rsid w:val="485F6737"/>
    <w:rsid w:val="48967C7F"/>
    <w:rsid w:val="48A27B87"/>
    <w:rsid w:val="48B00D40"/>
    <w:rsid w:val="48B71F5F"/>
    <w:rsid w:val="48BC3499"/>
    <w:rsid w:val="48F826E7"/>
    <w:rsid w:val="493F20C4"/>
    <w:rsid w:val="49A3337A"/>
    <w:rsid w:val="49BE0F52"/>
    <w:rsid w:val="4A0A0193"/>
    <w:rsid w:val="4A3D4856"/>
    <w:rsid w:val="4A563B69"/>
    <w:rsid w:val="4A875AD1"/>
    <w:rsid w:val="4A9D48C2"/>
    <w:rsid w:val="4ABB15CA"/>
    <w:rsid w:val="4ADB18EB"/>
    <w:rsid w:val="4B0E1D4E"/>
    <w:rsid w:val="4B101F6A"/>
    <w:rsid w:val="4BCC5D64"/>
    <w:rsid w:val="4BD50ABE"/>
    <w:rsid w:val="4BE40D01"/>
    <w:rsid w:val="4C363892"/>
    <w:rsid w:val="4C4023DB"/>
    <w:rsid w:val="4C632900"/>
    <w:rsid w:val="4C787DC7"/>
    <w:rsid w:val="4CA30BBC"/>
    <w:rsid w:val="4CB041A4"/>
    <w:rsid w:val="4D106251"/>
    <w:rsid w:val="4D1D271C"/>
    <w:rsid w:val="4D3073ED"/>
    <w:rsid w:val="4D824567"/>
    <w:rsid w:val="4D942922"/>
    <w:rsid w:val="4D9F6B46"/>
    <w:rsid w:val="4DA22C22"/>
    <w:rsid w:val="4DC25072"/>
    <w:rsid w:val="4DD51249"/>
    <w:rsid w:val="4DDA284D"/>
    <w:rsid w:val="4DF8562D"/>
    <w:rsid w:val="4DFE60AA"/>
    <w:rsid w:val="4E600F7F"/>
    <w:rsid w:val="4E6A173F"/>
    <w:rsid w:val="4E7B594C"/>
    <w:rsid w:val="4E870795"/>
    <w:rsid w:val="4E93713A"/>
    <w:rsid w:val="4E946A0E"/>
    <w:rsid w:val="4ECB579F"/>
    <w:rsid w:val="4ED32A15"/>
    <w:rsid w:val="4EFE20DA"/>
    <w:rsid w:val="4F136BAF"/>
    <w:rsid w:val="4F5C39D0"/>
    <w:rsid w:val="4F6665FD"/>
    <w:rsid w:val="4F786330"/>
    <w:rsid w:val="4F7D74A2"/>
    <w:rsid w:val="4FA9337C"/>
    <w:rsid w:val="501F67AB"/>
    <w:rsid w:val="50593A6B"/>
    <w:rsid w:val="50597F0F"/>
    <w:rsid w:val="50720FD1"/>
    <w:rsid w:val="50852AB2"/>
    <w:rsid w:val="50AA2519"/>
    <w:rsid w:val="50B9275C"/>
    <w:rsid w:val="50D47596"/>
    <w:rsid w:val="50F15594"/>
    <w:rsid w:val="51000915"/>
    <w:rsid w:val="51025EB1"/>
    <w:rsid w:val="51A451BA"/>
    <w:rsid w:val="51A93D45"/>
    <w:rsid w:val="51D860AE"/>
    <w:rsid w:val="51EB11A7"/>
    <w:rsid w:val="5245699D"/>
    <w:rsid w:val="527A416D"/>
    <w:rsid w:val="52946FDD"/>
    <w:rsid w:val="529C0587"/>
    <w:rsid w:val="52B15DE1"/>
    <w:rsid w:val="52C00AB5"/>
    <w:rsid w:val="52CD0741"/>
    <w:rsid w:val="52CD6993"/>
    <w:rsid w:val="52D32C59"/>
    <w:rsid w:val="52D33227"/>
    <w:rsid w:val="52D7336D"/>
    <w:rsid w:val="52ED493F"/>
    <w:rsid w:val="531B76FE"/>
    <w:rsid w:val="53516268"/>
    <w:rsid w:val="53640E6B"/>
    <w:rsid w:val="53680F4D"/>
    <w:rsid w:val="537312E8"/>
    <w:rsid w:val="537A08C9"/>
    <w:rsid w:val="53BA6F17"/>
    <w:rsid w:val="53C94501"/>
    <w:rsid w:val="53FF2B7C"/>
    <w:rsid w:val="5411465D"/>
    <w:rsid w:val="54942314"/>
    <w:rsid w:val="54A315F0"/>
    <w:rsid w:val="551F080C"/>
    <w:rsid w:val="554F368F"/>
    <w:rsid w:val="55630EE8"/>
    <w:rsid w:val="557C1FAA"/>
    <w:rsid w:val="557D01FC"/>
    <w:rsid w:val="558649E9"/>
    <w:rsid w:val="559B757A"/>
    <w:rsid w:val="55B21658"/>
    <w:rsid w:val="55C20305"/>
    <w:rsid w:val="55C951EF"/>
    <w:rsid w:val="55D10548"/>
    <w:rsid w:val="55E22755"/>
    <w:rsid w:val="55F3226C"/>
    <w:rsid w:val="560222CE"/>
    <w:rsid w:val="560A3E85"/>
    <w:rsid w:val="561E35DE"/>
    <w:rsid w:val="56226FF5"/>
    <w:rsid w:val="56260894"/>
    <w:rsid w:val="56423283"/>
    <w:rsid w:val="56551179"/>
    <w:rsid w:val="56C47F55"/>
    <w:rsid w:val="56D227CA"/>
    <w:rsid w:val="56DD1E56"/>
    <w:rsid w:val="56EF16B7"/>
    <w:rsid w:val="57127095"/>
    <w:rsid w:val="571B5E1C"/>
    <w:rsid w:val="57211FE5"/>
    <w:rsid w:val="57212E09"/>
    <w:rsid w:val="572253C2"/>
    <w:rsid w:val="57DB56AE"/>
    <w:rsid w:val="57E75E01"/>
    <w:rsid w:val="580E7831"/>
    <w:rsid w:val="582B597E"/>
    <w:rsid w:val="586B76C2"/>
    <w:rsid w:val="587F428B"/>
    <w:rsid w:val="588A18E5"/>
    <w:rsid w:val="589A10C5"/>
    <w:rsid w:val="58A255C2"/>
    <w:rsid w:val="58DA3BB7"/>
    <w:rsid w:val="58E30C85"/>
    <w:rsid w:val="59154BEF"/>
    <w:rsid w:val="591D1B7F"/>
    <w:rsid w:val="592C090B"/>
    <w:rsid w:val="594B1686"/>
    <w:rsid w:val="59B57AB7"/>
    <w:rsid w:val="59D318A6"/>
    <w:rsid w:val="59F842F5"/>
    <w:rsid w:val="5A113609"/>
    <w:rsid w:val="5A124512"/>
    <w:rsid w:val="5A3D61AC"/>
    <w:rsid w:val="5AD61C4C"/>
    <w:rsid w:val="5B063489"/>
    <w:rsid w:val="5B196FF7"/>
    <w:rsid w:val="5B1B393B"/>
    <w:rsid w:val="5B2630E4"/>
    <w:rsid w:val="5B48305A"/>
    <w:rsid w:val="5B7A6F8C"/>
    <w:rsid w:val="5B852845"/>
    <w:rsid w:val="5B8D3163"/>
    <w:rsid w:val="5BB93F58"/>
    <w:rsid w:val="5BCB45A3"/>
    <w:rsid w:val="5C07081F"/>
    <w:rsid w:val="5C084598"/>
    <w:rsid w:val="5C0A6562"/>
    <w:rsid w:val="5C2A6C04"/>
    <w:rsid w:val="5C2D0A9F"/>
    <w:rsid w:val="5C78171D"/>
    <w:rsid w:val="5C986C68"/>
    <w:rsid w:val="5CCB4C52"/>
    <w:rsid w:val="5CD235A2"/>
    <w:rsid w:val="5CF76AE6"/>
    <w:rsid w:val="5CFB5EAA"/>
    <w:rsid w:val="5D1256CE"/>
    <w:rsid w:val="5D752101"/>
    <w:rsid w:val="5D9E51B4"/>
    <w:rsid w:val="5E054FAB"/>
    <w:rsid w:val="5E1D07CE"/>
    <w:rsid w:val="5E257683"/>
    <w:rsid w:val="5E4F64AE"/>
    <w:rsid w:val="5E875C48"/>
    <w:rsid w:val="5EB629D1"/>
    <w:rsid w:val="5ED43404"/>
    <w:rsid w:val="5EDF7832"/>
    <w:rsid w:val="5EFC4888"/>
    <w:rsid w:val="5F04373C"/>
    <w:rsid w:val="5F131BD1"/>
    <w:rsid w:val="5F261904"/>
    <w:rsid w:val="5F28567D"/>
    <w:rsid w:val="5F335DCF"/>
    <w:rsid w:val="5F5A15AE"/>
    <w:rsid w:val="5F7563E8"/>
    <w:rsid w:val="5FE5531C"/>
    <w:rsid w:val="6025390F"/>
    <w:rsid w:val="602A730A"/>
    <w:rsid w:val="604A0FC0"/>
    <w:rsid w:val="605F3B00"/>
    <w:rsid w:val="6062071A"/>
    <w:rsid w:val="60714E01"/>
    <w:rsid w:val="60730B79"/>
    <w:rsid w:val="609E54CA"/>
    <w:rsid w:val="60B60A66"/>
    <w:rsid w:val="60FF065F"/>
    <w:rsid w:val="61077514"/>
    <w:rsid w:val="614348BF"/>
    <w:rsid w:val="6151078F"/>
    <w:rsid w:val="61E909C7"/>
    <w:rsid w:val="622540F5"/>
    <w:rsid w:val="628F77C1"/>
    <w:rsid w:val="629372B1"/>
    <w:rsid w:val="62CA25A7"/>
    <w:rsid w:val="62F37D50"/>
    <w:rsid w:val="62F92E8C"/>
    <w:rsid w:val="62FF4946"/>
    <w:rsid w:val="631906FD"/>
    <w:rsid w:val="638D7E1B"/>
    <w:rsid w:val="63E33020"/>
    <w:rsid w:val="63F313D6"/>
    <w:rsid w:val="641F4B74"/>
    <w:rsid w:val="64300B2F"/>
    <w:rsid w:val="644927AA"/>
    <w:rsid w:val="644A7E43"/>
    <w:rsid w:val="644B29EB"/>
    <w:rsid w:val="648570CD"/>
    <w:rsid w:val="64990483"/>
    <w:rsid w:val="64C21A65"/>
    <w:rsid w:val="64D2036D"/>
    <w:rsid w:val="6503311C"/>
    <w:rsid w:val="6511270F"/>
    <w:rsid w:val="651641C9"/>
    <w:rsid w:val="656D7047"/>
    <w:rsid w:val="65943DCC"/>
    <w:rsid w:val="65B35574"/>
    <w:rsid w:val="66342B59"/>
    <w:rsid w:val="6645502F"/>
    <w:rsid w:val="66592A75"/>
    <w:rsid w:val="667C4500"/>
    <w:rsid w:val="66B33C62"/>
    <w:rsid w:val="66CB34B0"/>
    <w:rsid w:val="66CE552F"/>
    <w:rsid w:val="66F978FF"/>
    <w:rsid w:val="67005A4F"/>
    <w:rsid w:val="67010C05"/>
    <w:rsid w:val="6716225F"/>
    <w:rsid w:val="6732696D"/>
    <w:rsid w:val="674F1B70"/>
    <w:rsid w:val="675D60DF"/>
    <w:rsid w:val="67607CDE"/>
    <w:rsid w:val="67795450"/>
    <w:rsid w:val="678E6299"/>
    <w:rsid w:val="67987117"/>
    <w:rsid w:val="67B57CC9"/>
    <w:rsid w:val="67C33BC0"/>
    <w:rsid w:val="67DE3A99"/>
    <w:rsid w:val="67FA392E"/>
    <w:rsid w:val="6874548F"/>
    <w:rsid w:val="687F5F93"/>
    <w:rsid w:val="68B95597"/>
    <w:rsid w:val="68FC7232"/>
    <w:rsid w:val="69054339"/>
    <w:rsid w:val="6914022D"/>
    <w:rsid w:val="69635503"/>
    <w:rsid w:val="696C260A"/>
    <w:rsid w:val="699851AD"/>
    <w:rsid w:val="699B2EEF"/>
    <w:rsid w:val="699D6C67"/>
    <w:rsid w:val="69B84EDC"/>
    <w:rsid w:val="6A0339D1"/>
    <w:rsid w:val="6A1177DD"/>
    <w:rsid w:val="6A2151A2"/>
    <w:rsid w:val="6A3C6480"/>
    <w:rsid w:val="6A9736B6"/>
    <w:rsid w:val="6ABA1153"/>
    <w:rsid w:val="6ACC771E"/>
    <w:rsid w:val="6AE727FB"/>
    <w:rsid w:val="6AEF3D62"/>
    <w:rsid w:val="6AFE1987"/>
    <w:rsid w:val="6B476A1E"/>
    <w:rsid w:val="6B4C44A1"/>
    <w:rsid w:val="6B54626E"/>
    <w:rsid w:val="6BAA7419"/>
    <w:rsid w:val="6BE248E5"/>
    <w:rsid w:val="6C021003"/>
    <w:rsid w:val="6C186A79"/>
    <w:rsid w:val="6C1F1BB5"/>
    <w:rsid w:val="6C2D6AD7"/>
    <w:rsid w:val="6C540873"/>
    <w:rsid w:val="6C6F1216"/>
    <w:rsid w:val="6C871509"/>
    <w:rsid w:val="6C9A56E0"/>
    <w:rsid w:val="6CA82785"/>
    <w:rsid w:val="6CB20E55"/>
    <w:rsid w:val="6CC22541"/>
    <w:rsid w:val="6CE85848"/>
    <w:rsid w:val="6D15191A"/>
    <w:rsid w:val="6D3A6CB4"/>
    <w:rsid w:val="6D6B4986"/>
    <w:rsid w:val="6DE22E9A"/>
    <w:rsid w:val="6DEA61F3"/>
    <w:rsid w:val="6DFC5FDF"/>
    <w:rsid w:val="6E0D2F46"/>
    <w:rsid w:val="6E3D6323"/>
    <w:rsid w:val="6E851A78"/>
    <w:rsid w:val="6E8C2E06"/>
    <w:rsid w:val="6E9E40AE"/>
    <w:rsid w:val="6EA27AB3"/>
    <w:rsid w:val="6EA97E5C"/>
    <w:rsid w:val="6EAE7221"/>
    <w:rsid w:val="6ECC5FE7"/>
    <w:rsid w:val="6EDB6140"/>
    <w:rsid w:val="6F6D70DC"/>
    <w:rsid w:val="6F824716"/>
    <w:rsid w:val="6F9E1043"/>
    <w:rsid w:val="6FB14B95"/>
    <w:rsid w:val="6FBB39A3"/>
    <w:rsid w:val="6FD42CB7"/>
    <w:rsid w:val="6FEF7AF1"/>
    <w:rsid w:val="70077DE7"/>
    <w:rsid w:val="700C2451"/>
    <w:rsid w:val="70206657"/>
    <w:rsid w:val="7029485D"/>
    <w:rsid w:val="70473489"/>
    <w:rsid w:val="707A1AB0"/>
    <w:rsid w:val="70B56644"/>
    <w:rsid w:val="70F058CE"/>
    <w:rsid w:val="710366B1"/>
    <w:rsid w:val="71CF1988"/>
    <w:rsid w:val="71D13952"/>
    <w:rsid w:val="722021E3"/>
    <w:rsid w:val="723C4321"/>
    <w:rsid w:val="7258197D"/>
    <w:rsid w:val="72800ED4"/>
    <w:rsid w:val="72872262"/>
    <w:rsid w:val="72F316A6"/>
    <w:rsid w:val="73076EFF"/>
    <w:rsid w:val="73426189"/>
    <w:rsid w:val="73612223"/>
    <w:rsid w:val="738467A2"/>
    <w:rsid w:val="73890A15"/>
    <w:rsid w:val="73941822"/>
    <w:rsid w:val="739B7DBF"/>
    <w:rsid w:val="73A85115"/>
    <w:rsid w:val="73BA21C4"/>
    <w:rsid w:val="73C3551C"/>
    <w:rsid w:val="7423420D"/>
    <w:rsid w:val="742868CF"/>
    <w:rsid w:val="74303CED"/>
    <w:rsid w:val="74367A9C"/>
    <w:rsid w:val="743E1047"/>
    <w:rsid w:val="745829FA"/>
    <w:rsid w:val="745B39A7"/>
    <w:rsid w:val="745E6FF3"/>
    <w:rsid w:val="74650381"/>
    <w:rsid w:val="74687C74"/>
    <w:rsid w:val="746D7236"/>
    <w:rsid w:val="7478586B"/>
    <w:rsid w:val="74C72F0F"/>
    <w:rsid w:val="74E7348C"/>
    <w:rsid w:val="74F62301"/>
    <w:rsid w:val="750758DC"/>
    <w:rsid w:val="7518696C"/>
    <w:rsid w:val="75457C9F"/>
    <w:rsid w:val="755747C3"/>
    <w:rsid w:val="758A0127"/>
    <w:rsid w:val="7592164A"/>
    <w:rsid w:val="75B275F6"/>
    <w:rsid w:val="761422CC"/>
    <w:rsid w:val="76224CCF"/>
    <w:rsid w:val="762A53DF"/>
    <w:rsid w:val="762F6E99"/>
    <w:rsid w:val="76530DD9"/>
    <w:rsid w:val="76EC2FDC"/>
    <w:rsid w:val="770B16B4"/>
    <w:rsid w:val="770E4B54"/>
    <w:rsid w:val="772E7150"/>
    <w:rsid w:val="77866F8C"/>
    <w:rsid w:val="77A15B74"/>
    <w:rsid w:val="77A86F03"/>
    <w:rsid w:val="77F0668A"/>
    <w:rsid w:val="785045C8"/>
    <w:rsid w:val="789456D9"/>
    <w:rsid w:val="78EE6B97"/>
    <w:rsid w:val="79020895"/>
    <w:rsid w:val="790243F1"/>
    <w:rsid w:val="790F4D60"/>
    <w:rsid w:val="79110AD8"/>
    <w:rsid w:val="791A1FD1"/>
    <w:rsid w:val="791A5BDE"/>
    <w:rsid w:val="79294073"/>
    <w:rsid w:val="794013BD"/>
    <w:rsid w:val="799C4845"/>
    <w:rsid w:val="79AE6381"/>
    <w:rsid w:val="79BC0D4C"/>
    <w:rsid w:val="79C43D9C"/>
    <w:rsid w:val="79E61F64"/>
    <w:rsid w:val="7A3C3932"/>
    <w:rsid w:val="7A577BDB"/>
    <w:rsid w:val="7AA535EF"/>
    <w:rsid w:val="7B4C4049"/>
    <w:rsid w:val="7B4C6C5F"/>
    <w:rsid w:val="7B590514"/>
    <w:rsid w:val="7B5F2B22"/>
    <w:rsid w:val="7B833D31"/>
    <w:rsid w:val="7BAC2D3A"/>
    <w:rsid w:val="7BBF2A6D"/>
    <w:rsid w:val="7BC71BE8"/>
    <w:rsid w:val="7BCE7F00"/>
    <w:rsid w:val="7BEE3352"/>
    <w:rsid w:val="7C0E12FE"/>
    <w:rsid w:val="7C142DB9"/>
    <w:rsid w:val="7C213CD7"/>
    <w:rsid w:val="7C2F624D"/>
    <w:rsid w:val="7C5C650E"/>
    <w:rsid w:val="7C6A15B3"/>
    <w:rsid w:val="7CC46853"/>
    <w:rsid w:val="7CDE33C7"/>
    <w:rsid w:val="7CEC1640"/>
    <w:rsid w:val="7CFA01CB"/>
    <w:rsid w:val="7D23702C"/>
    <w:rsid w:val="7D2E5D91"/>
    <w:rsid w:val="7DA43CC8"/>
    <w:rsid w:val="7DA55C93"/>
    <w:rsid w:val="7DCD5C31"/>
    <w:rsid w:val="7E0230E5"/>
    <w:rsid w:val="7E4D2CFE"/>
    <w:rsid w:val="7E741677"/>
    <w:rsid w:val="7E7C25E5"/>
    <w:rsid w:val="7E7F4735"/>
    <w:rsid w:val="7E8D404B"/>
    <w:rsid w:val="7EB97C47"/>
    <w:rsid w:val="7EC14D4E"/>
    <w:rsid w:val="7EF1703A"/>
    <w:rsid w:val="7F207CC7"/>
    <w:rsid w:val="7F46479C"/>
    <w:rsid w:val="7F6364A4"/>
    <w:rsid w:val="7F8E2E82"/>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2627</Words>
  <Characters>3586</Characters>
  <Lines>47</Lines>
  <Paragraphs>13</Paragraphs>
  <TotalTime>11</TotalTime>
  <ScaleCrop>false</ScaleCrop>
  <LinksUpToDate>false</LinksUpToDate>
  <CharactersWithSpaces>3663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钟然</cp:lastModifiedBy>
  <dcterms:modified xsi:type="dcterms:W3CDTF">2026-02-10T02:33:41Z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C34A7C36178B439EBEFC95698B7349BB_13</vt:lpwstr>
  </property>
  <property fmtid="{D5CDD505-2E9C-101B-9397-08002B2CF9AE}" pid="3" name="KSOProductBuildVer">
    <vt:lpwstr>2052-12.1.0.19770</vt:lpwstr>
  </property>
  <property fmtid="{D5CDD505-2E9C-101B-9397-08002B2CF9AE}" pid="4" name="KSOTemplateDocerSaveRecord">
    <vt:lpwstr>eyJoZGlkIjoiNmFhMDUwZjM3MTI2N2YzZmY2YTBiZjViNmU4Zjg3ZmUiLCJ1c2VySWQiOiIxMjY1MjIzMzE4In0=</vt:lpwstr>
  </property>
</Properties>
</file>